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EAB2A">
      <w:pPr>
        <w:widowControl/>
        <w:tabs>
          <w:tab w:val="left" w:pos="1968"/>
        </w:tabs>
        <w:jc w:val="center"/>
        <w:textAlignment w:val="center"/>
        <w:rPr>
          <w:rFonts w:ascii="CESI黑体-GB2312" w:hAnsi="CESI黑体-GB2312" w:eastAsia="CESI黑体-GB2312" w:cs="CESI黑体-GB2312"/>
          <w:color w:val="000000"/>
          <w:kern w:val="0"/>
          <w:sz w:val="22"/>
          <w:szCs w:val="22"/>
        </w:rPr>
      </w:pPr>
      <w:bookmarkStart w:id="1" w:name="_GoBack"/>
      <w:bookmarkEnd w:id="1"/>
      <w:bookmarkStart w:id="0" w:name="_Hlk506124962"/>
      <w:bookmarkEnd w:id="0"/>
      <w:r>
        <w:rPr>
          <w:rFonts w:hint="eastAsia" w:ascii="方正小标宋简体" w:hAnsi="方正小标宋简体" w:eastAsia="方正小标宋简体" w:cs="方正小标宋简体"/>
          <w:color w:val="000000"/>
          <w:kern w:val="0"/>
          <w:sz w:val="44"/>
          <w:szCs w:val="44"/>
        </w:rPr>
        <w:t>同心县“综合查一次”联合检查事项清单</w:t>
      </w:r>
    </w:p>
    <w:tbl>
      <w:tblPr>
        <w:tblStyle w:val="20"/>
        <w:tblW w:w="15382" w:type="dxa"/>
        <w:tblInd w:w="-624" w:type="dxa"/>
        <w:tblLayout w:type="fixed"/>
        <w:tblCellMar>
          <w:top w:w="0" w:type="dxa"/>
          <w:left w:w="108" w:type="dxa"/>
          <w:bottom w:w="0" w:type="dxa"/>
          <w:right w:w="108" w:type="dxa"/>
        </w:tblCellMar>
      </w:tblPr>
      <w:tblGrid>
        <w:gridCol w:w="545"/>
        <w:gridCol w:w="885"/>
        <w:gridCol w:w="862"/>
        <w:gridCol w:w="585"/>
        <w:gridCol w:w="1364"/>
        <w:gridCol w:w="4827"/>
        <w:gridCol w:w="6314"/>
      </w:tblGrid>
      <w:tr w14:paraId="4EF3CFCE">
        <w:tblPrEx>
          <w:tblCellMar>
            <w:top w:w="0" w:type="dxa"/>
            <w:left w:w="108" w:type="dxa"/>
            <w:bottom w:w="0" w:type="dxa"/>
            <w:right w:w="108" w:type="dxa"/>
          </w:tblCellMar>
        </w:tblPrEx>
        <w:trPr>
          <w:trHeight w:val="616" w:hRule="atLeast"/>
        </w:trPr>
        <w:tc>
          <w:tcPr>
            <w:tcW w:w="545" w:type="dxa"/>
            <w:tcBorders>
              <w:top w:val="single" w:color="000000" w:sz="4" w:space="0"/>
              <w:left w:val="single" w:color="000000" w:sz="4" w:space="0"/>
              <w:bottom w:val="single" w:color="000000" w:sz="4" w:space="0"/>
              <w:right w:val="single" w:color="000000" w:sz="4" w:space="0"/>
            </w:tcBorders>
            <w:noWrap/>
            <w:vAlign w:val="center"/>
          </w:tcPr>
          <w:p w14:paraId="51E2EF48">
            <w:pPr>
              <w:widowControl/>
              <w:spacing w:line="240" w:lineRule="exact"/>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序号</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8C89294">
            <w:pPr>
              <w:widowControl/>
              <w:spacing w:line="240" w:lineRule="exact"/>
              <w:jc w:val="center"/>
              <w:textAlignment w:val="center"/>
              <w:rPr>
                <w:rFonts w:ascii="CESI黑体-GB2312" w:hAnsi="CESI黑体-GB2312" w:eastAsia="CESI黑体-GB2312" w:cs="CESI黑体-GB2312"/>
                <w:color w:val="000000"/>
                <w:kern w:val="0"/>
                <w:sz w:val="22"/>
                <w:szCs w:val="22"/>
              </w:rPr>
            </w:pPr>
            <w:r>
              <w:rPr>
                <w:rFonts w:hint="eastAsia" w:ascii="CESI黑体-GB2312" w:hAnsi="CESI黑体-GB2312" w:eastAsia="CESI黑体-GB2312" w:cs="CESI黑体-GB2312"/>
                <w:color w:val="000000"/>
                <w:kern w:val="0"/>
                <w:sz w:val="22"/>
                <w:szCs w:val="22"/>
              </w:rPr>
              <w:t>检查</w:t>
            </w:r>
          </w:p>
          <w:p w14:paraId="4453D2FC">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领域</w:t>
            </w: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440AEC04">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检查对象</w:t>
            </w: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5EDA7680">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牵头部门</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5BACB84D">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联合检查</w:t>
            </w:r>
            <w:r>
              <w:rPr>
                <w:rFonts w:hint="eastAsia" w:ascii="CESI黑体-GB2312" w:hAnsi="CESI黑体-GB2312" w:eastAsia="CESI黑体-GB2312" w:cs="CESI黑体-GB2312"/>
                <w:color w:val="000000"/>
                <w:kern w:val="0"/>
                <w:sz w:val="22"/>
                <w:szCs w:val="22"/>
              </w:rPr>
              <w:br w:type="textWrapping"/>
            </w:r>
            <w:r>
              <w:rPr>
                <w:rFonts w:hint="eastAsia" w:ascii="CESI黑体-GB2312" w:hAnsi="CESI黑体-GB2312" w:eastAsia="CESI黑体-GB2312" w:cs="CESI黑体-GB2312"/>
                <w:color w:val="000000"/>
                <w:kern w:val="0"/>
                <w:sz w:val="22"/>
                <w:szCs w:val="22"/>
              </w:rPr>
              <w:t>部门</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A0130D2">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检查内容</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01BD39F">
            <w:pPr>
              <w:widowControl/>
              <w:spacing w:line="240" w:lineRule="exact"/>
              <w:jc w:val="center"/>
              <w:textAlignment w:val="center"/>
              <w:rPr>
                <w:rFonts w:ascii="CESI黑体-GB2312" w:hAnsi="CESI黑体-GB2312" w:eastAsia="CESI黑体-GB2312" w:cs="CESI黑体-GB2312"/>
                <w:color w:val="000000"/>
                <w:sz w:val="22"/>
                <w:szCs w:val="22"/>
              </w:rPr>
            </w:pPr>
            <w:r>
              <w:rPr>
                <w:rFonts w:hint="eastAsia" w:ascii="CESI黑体-GB2312" w:hAnsi="CESI黑体-GB2312" w:eastAsia="CESI黑体-GB2312" w:cs="CESI黑体-GB2312"/>
                <w:color w:val="000000"/>
                <w:kern w:val="0"/>
                <w:sz w:val="22"/>
                <w:szCs w:val="22"/>
              </w:rPr>
              <w:t>检查依据</w:t>
            </w:r>
          </w:p>
        </w:tc>
      </w:tr>
      <w:tr w14:paraId="56320462">
        <w:tblPrEx>
          <w:tblCellMar>
            <w:top w:w="0" w:type="dxa"/>
            <w:left w:w="108" w:type="dxa"/>
            <w:bottom w:w="0" w:type="dxa"/>
            <w:right w:w="108" w:type="dxa"/>
          </w:tblCellMar>
        </w:tblPrEx>
        <w:trPr>
          <w:trHeight w:val="623"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77B00EC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1</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559D60C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成品油</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6F8E255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加油站、成品油仓储企业</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589E0CA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工信商务局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40EBA5B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工信商务局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0B2326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对成品油流通许可证、成品油零售、台账和信用等情况的检查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C0FE37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《宁夏回族自治区成品油流通领域跨部门综合监管实施细则》</w:t>
            </w:r>
            <w:r>
              <w:rPr>
                <w:rStyle w:val="22"/>
                <w:rFonts w:eastAsia="仿宋_GB2312"/>
              </w:rPr>
              <w:t>‌</w:t>
            </w:r>
            <w:r>
              <w:rPr>
                <w:rStyle w:val="23"/>
                <w:rFonts w:hAnsi="方正兰亭黑_GBK"/>
              </w:rPr>
              <w:t>《国务院办公厅关于推动成品油流通高质量发展的意见》</w:t>
            </w:r>
            <w:r>
              <w:rPr>
                <w:rStyle w:val="22"/>
                <w:rFonts w:eastAsia="仿宋_GB2312"/>
              </w:rPr>
              <w:t>‌</w:t>
            </w:r>
          </w:p>
        </w:tc>
      </w:tr>
      <w:tr w14:paraId="23D750E7">
        <w:tblPrEx>
          <w:tblCellMar>
            <w:top w:w="0" w:type="dxa"/>
            <w:left w:w="108" w:type="dxa"/>
            <w:bottom w:w="0" w:type="dxa"/>
            <w:right w:w="108" w:type="dxa"/>
          </w:tblCellMar>
        </w:tblPrEx>
        <w:trPr>
          <w:trHeight w:val="94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0A19F6A9"/>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B59063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32B7AC25"/>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6F78C8C"/>
        </w:tc>
        <w:tc>
          <w:tcPr>
            <w:tcW w:w="1364" w:type="dxa"/>
            <w:tcBorders>
              <w:top w:val="single" w:color="000000" w:sz="4" w:space="0"/>
              <w:left w:val="single" w:color="000000" w:sz="4" w:space="0"/>
              <w:bottom w:val="single" w:color="000000" w:sz="4" w:space="0"/>
              <w:right w:val="single" w:color="000000" w:sz="4" w:space="0"/>
            </w:tcBorders>
            <w:noWrap/>
            <w:vAlign w:val="center"/>
          </w:tcPr>
          <w:p w14:paraId="1706059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21FE72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检查从业人员安全教育培训情况；检查安全生产事故应急预案制定情况和事故隐患排查治理情况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A8DE1F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《中华人民共和国安全生产法》第二十八条、 第三十五条、第三十六条、第六十五条；《生产经营单位安全培训规定》第二十六条；《安全生产事故隐患排查治理暂行规定》第二十条</w:t>
            </w:r>
          </w:p>
        </w:tc>
      </w:tr>
      <w:tr w14:paraId="20A60D25">
        <w:tblPrEx>
          <w:tblCellMar>
            <w:top w:w="0" w:type="dxa"/>
            <w:left w:w="108" w:type="dxa"/>
            <w:bottom w:w="0" w:type="dxa"/>
            <w:right w:w="108" w:type="dxa"/>
          </w:tblCellMar>
        </w:tblPrEx>
        <w:trPr>
          <w:trHeight w:val="49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76E8A9C"/>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E56DFA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5AB6F0E"/>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5E31AC6"/>
        </w:tc>
        <w:tc>
          <w:tcPr>
            <w:tcW w:w="1364" w:type="dxa"/>
            <w:tcBorders>
              <w:top w:val="single" w:color="000000" w:sz="4" w:space="0"/>
              <w:left w:val="single" w:color="000000" w:sz="4" w:space="0"/>
              <w:bottom w:val="single" w:color="000000" w:sz="4" w:space="0"/>
              <w:right w:val="single" w:color="000000" w:sz="4" w:space="0"/>
            </w:tcBorders>
            <w:noWrap/>
            <w:vAlign w:val="center"/>
          </w:tcPr>
          <w:p w14:paraId="2BA6DAE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DBFA95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对危险化学品道路运输的检查。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19A7E2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《危险化学品安全管理条例》第八十八条</w:t>
            </w:r>
          </w:p>
        </w:tc>
      </w:tr>
      <w:tr w14:paraId="4F9CC94A">
        <w:tblPrEx>
          <w:tblCellMar>
            <w:top w:w="0" w:type="dxa"/>
            <w:left w:w="108" w:type="dxa"/>
            <w:bottom w:w="0" w:type="dxa"/>
            <w:right w:w="108" w:type="dxa"/>
          </w:tblCellMar>
        </w:tblPrEx>
        <w:trPr>
          <w:trHeight w:val="60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DF8ED4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F7B8EE6"/>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3566EF2D"/>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461A13F"/>
        </w:tc>
        <w:tc>
          <w:tcPr>
            <w:tcW w:w="1364" w:type="dxa"/>
            <w:tcBorders>
              <w:top w:val="single" w:color="000000" w:sz="4" w:space="0"/>
              <w:left w:val="single" w:color="000000" w:sz="4" w:space="0"/>
              <w:bottom w:val="single" w:color="000000" w:sz="4" w:space="0"/>
              <w:right w:val="single" w:color="000000" w:sz="4" w:space="0"/>
            </w:tcBorders>
            <w:noWrap/>
            <w:vAlign w:val="center"/>
          </w:tcPr>
          <w:p w14:paraId="3F87C7FA">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w:t>
            </w:r>
          </w:p>
          <w:p w14:paraId="0777B791">
            <w:pPr>
              <w:widowControl/>
              <w:spacing w:line="240" w:lineRule="exact"/>
              <w:jc w:val="center"/>
              <w:textAlignment w:val="center"/>
              <w:rPr>
                <w:rFonts w:hint="eastAsia" w:ascii="仿宋_GB2312" w:hAnsi="方正兰亭黑_GBK" w:eastAsia="仿宋_GB2312" w:cs="仿宋_GB2312"/>
                <w:color w:val="000000"/>
                <w:sz w:val="22"/>
                <w:szCs w:val="22"/>
              </w:rPr>
            </w:pPr>
            <w:r>
              <w:rPr>
                <w:rFonts w:hint="eastAsia" w:ascii="仿宋_GB2312" w:hAnsi="方正兰亭黑_GBK" w:eastAsia="仿宋_GB2312" w:cs="仿宋_GB2312"/>
                <w:color w:val="000000"/>
                <w:kern w:val="0"/>
                <w:sz w:val="22"/>
                <w:szCs w:val="22"/>
              </w:rPr>
              <w:t>分</w:t>
            </w:r>
            <w:r>
              <w:rPr>
                <w:rFonts w:ascii="仿宋_GB2312" w:hAnsi="方正兰亭黑_GBK" w:eastAsia="仿宋_GB2312" w:cs="仿宋_GB2312"/>
                <w:color w:val="000000"/>
                <w:kern w:val="0"/>
                <w:sz w:val="22"/>
                <w:szCs w:val="22"/>
              </w:rPr>
              <w:t>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908A18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对油气回收装置和危废处置情况的监督检查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38D08E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《污染源自动监控设施现场监督检查办法》第四条第一款、《中华人民共和国固体废物污染环境防治法》第九条、第二十六条</w:t>
            </w:r>
          </w:p>
        </w:tc>
      </w:tr>
      <w:tr w14:paraId="723F2BAC">
        <w:tblPrEx>
          <w:tblCellMar>
            <w:top w:w="0" w:type="dxa"/>
            <w:left w:w="108" w:type="dxa"/>
            <w:bottom w:w="0" w:type="dxa"/>
            <w:right w:w="108" w:type="dxa"/>
          </w:tblCellMar>
        </w:tblPrEx>
        <w:trPr>
          <w:trHeight w:val="605"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A89B3FB"/>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E9FD8C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9B6ADE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3CF52432"/>
        </w:tc>
        <w:tc>
          <w:tcPr>
            <w:tcW w:w="1364" w:type="dxa"/>
            <w:tcBorders>
              <w:top w:val="single" w:color="000000" w:sz="4" w:space="0"/>
              <w:left w:val="single" w:color="000000" w:sz="4" w:space="0"/>
              <w:bottom w:val="single" w:color="000000" w:sz="4" w:space="0"/>
              <w:right w:val="single" w:color="000000" w:sz="4" w:space="0"/>
            </w:tcBorders>
            <w:noWrap/>
            <w:vAlign w:val="center"/>
          </w:tcPr>
          <w:p w14:paraId="11FA923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8190CF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47BC82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3E5EBB84">
        <w:tblPrEx>
          <w:tblCellMar>
            <w:top w:w="0" w:type="dxa"/>
            <w:left w:w="108" w:type="dxa"/>
            <w:bottom w:w="0" w:type="dxa"/>
            <w:right w:w="108" w:type="dxa"/>
          </w:tblCellMar>
        </w:tblPrEx>
        <w:trPr>
          <w:trHeight w:val="53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106FF29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A1860D3"/>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184C1C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F90846C"/>
        </w:tc>
        <w:tc>
          <w:tcPr>
            <w:tcW w:w="1364" w:type="dxa"/>
            <w:tcBorders>
              <w:top w:val="single" w:color="000000" w:sz="4" w:space="0"/>
              <w:left w:val="single" w:color="000000" w:sz="4" w:space="0"/>
              <w:bottom w:val="single" w:color="000000" w:sz="4" w:space="0"/>
              <w:right w:val="single" w:color="000000" w:sz="4" w:space="0"/>
            </w:tcBorders>
            <w:noWrap/>
            <w:vAlign w:val="center"/>
          </w:tcPr>
          <w:p w14:paraId="3D69F26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卫健局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AC24B3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8DFDEB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73346021">
        <w:tblPrEx>
          <w:tblCellMar>
            <w:top w:w="0" w:type="dxa"/>
            <w:left w:w="108" w:type="dxa"/>
            <w:bottom w:w="0" w:type="dxa"/>
            <w:right w:w="108" w:type="dxa"/>
          </w:tblCellMar>
        </w:tblPrEx>
        <w:trPr>
          <w:trHeight w:val="112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5C82014"/>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049C84C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263D9CB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1C6BA4B2"/>
        </w:tc>
        <w:tc>
          <w:tcPr>
            <w:tcW w:w="1364" w:type="dxa"/>
            <w:tcBorders>
              <w:top w:val="single" w:color="000000" w:sz="4" w:space="0"/>
              <w:left w:val="single" w:color="000000" w:sz="4" w:space="0"/>
              <w:bottom w:val="single" w:color="000000" w:sz="4" w:space="0"/>
              <w:right w:val="single" w:color="000000" w:sz="4" w:space="0"/>
            </w:tcBorders>
            <w:noWrap/>
            <w:vAlign w:val="center"/>
          </w:tcPr>
          <w:p w14:paraId="597485D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46899E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对企业气瓶充装行为、使用的特种设备安全进行监督检查；对能源计量工作情况、产品能源效率、能源计量器具配备和使用及能源计量工作人员的配备和培训等进行监督检查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7128A8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《中华人民共和国特种设备安全法》第五十七条；《特种设备安全监察条例》第五十条；《能源计量监督管理办法》第十六条、第十七条</w:t>
            </w:r>
          </w:p>
        </w:tc>
      </w:tr>
      <w:tr w14:paraId="69D40E67">
        <w:tblPrEx>
          <w:tblCellMar>
            <w:top w:w="0" w:type="dxa"/>
            <w:left w:w="108" w:type="dxa"/>
            <w:bottom w:w="0" w:type="dxa"/>
            <w:right w:w="108" w:type="dxa"/>
          </w:tblCellMar>
        </w:tblPrEx>
        <w:trPr>
          <w:trHeight w:val="112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F37CAB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2B7E431"/>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25C2D95"/>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19BAB7C0"/>
        </w:tc>
        <w:tc>
          <w:tcPr>
            <w:tcW w:w="1364" w:type="dxa"/>
            <w:tcBorders>
              <w:top w:val="single" w:color="000000" w:sz="4" w:space="0"/>
              <w:left w:val="single" w:color="000000" w:sz="4" w:space="0"/>
              <w:bottom w:val="single" w:color="000000" w:sz="4" w:space="0"/>
              <w:right w:val="single" w:color="000000" w:sz="4" w:space="0"/>
            </w:tcBorders>
            <w:noWrap/>
            <w:vAlign w:val="center"/>
          </w:tcPr>
          <w:p w14:paraId="3D03A78F">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hint="eastAsia" w:ascii="仿宋_GB2312" w:eastAsia="仿宋_GB2312" w:cs="仿宋_GB2312"/>
                <w:color w:val="000000"/>
                <w:sz w:val="22"/>
                <w:szCs w:val="22"/>
              </w:rPr>
              <w:t>气象局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D07A8D5">
            <w:pPr>
              <w:widowControl/>
              <w:spacing w:line="240" w:lineRule="exact"/>
              <w:jc w:val="left"/>
              <w:textAlignment w:val="center"/>
              <w:rPr>
                <w:rFonts w:ascii="仿宋_GB2312" w:eastAsia="仿宋_GB2312" w:cs="仿宋_GB2312"/>
                <w:color w:val="000000"/>
                <w:sz w:val="22"/>
                <w:szCs w:val="22"/>
              </w:rPr>
            </w:pPr>
            <w:r>
              <w:rPr>
                <w:rFonts w:ascii="仿宋_GB2312" w:hAnsi="宋体" w:eastAsia="仿宋_GB2312" w:cs="仿宋_GB2312"/>
                <w:color w:val="000000"/>
                <w:kern w:val="0"/>
                <w:sz w:val="22"/>
                <w:szCs w:val="22"/>
              </w:rPr>
              <w:t>负责成品油批发、仓储、零售经营场所的雷</w:t>
            </w:r>
            <w:r>
              <w:rPr>
                <w:rFonts w:hint="eastAsia" w:ascii="仿宋_GB2312" w:eastAsia="仿宋_GB2312" w:cs="仿宋_GB2312"/>
                <w:color w:val="000000"/>
                <w:sz w:val="22"/>
                <w:szCs w:val="22"/>
              </w:rPr>
              <w:t>电防护装置设计审核、竣工验收以及防雷安全监管工作，查处不符合防雷规定开展成品油经营的行为。</w:t>
            </w:r>
          </w:p>
          <w:p w14:paraId="6EBAB0A3">
            <w:pPr>
              <w:widowControl/>
              <w:spacing w:line="240" w:lineRule="exact"/>
              <w:jc w:val="left"/>
              <w:textAlignment w:val="center"/>
              <w:rPr>
                <w:rFonts w:hint="eastAsia" w:ascii="仿宋_GB2312" w:hAnsi="方正兰亭黑_GBK" w:eastAsia="仿宋_GB2312" w:cs="仿宋_GB2312"/>
                <w:color w:val="000000"/>
                <w:kern w:val="0"/>
                <w:sz w:val="22"/>
                <w:szCs w:val="22"/>
              </w:rPr>
            </w:pP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715E454">
            <w:pPr>
              <w:widowControl/>
              <w:spacing w:line="240" w:lineRule="exact"/>
              <w:jc w:val="left"/>
              <w:textAlignment w:val="center"/>
              <w:rPr>
                <w:rFonts w:ascii="仿宋_GB2312" w:eastAsia="仿宋_GB2312" w:cs="仿宋_GB2312"/>
                <w:color w:val="000000"/>
                <w:sz w:val="22"/>
                <w:szCs w:val="22"/>
              </w:rPr>
            </w:pPr>
            <w:r>
              <w:rPr>
                <w:rFonts w:hint="eastAsia" w:ascii="仿宋_GB2312" w:eastAsia="仿宋_GB2312" w:cs="仿宋_GB2312"/>
                <w:color w:val="000000"/>
                <w:sz w:val="22"/>
                <w:szCs w:val="22"/>
              </w:rPr>
              <w:t>《中华人民共和国气象法》第三十一条</w:t>
            </w:r>
            <w:r>
              <w:rPr>
                <w:rFonts w:ascii="仿宋_GB2312" w:eastAsia="仿宋_GB2312" w:cs="仿宋_GB2312"/>
                <w:color w:val="000000"/>
                <w:sz w:val="22"/>
                <w:szCs w:val="22"/>
              </w:rPr>
              <w:t>；</w:t>
            </w:r>
            <w:r>
              <w:rPr>
                <w:rFonts w:hint="eastAsia" w:ascii="仿宋_GB2312" w:eastAsia="仿宋_GB2312" w:cs="仿宋_GB2312"/>
                <w:color w:val="000000"/>
                <w:sz w:val="22"/>
                <w:szCs w:val="22"/>
              </w:rPr>
              <w:t>《防雷减灾管理办法》第四条、第二十三条</w:t>
            </w:r>
            <w:r>
              <w:rPr>
                <w:rFonts w:ascii="仿宋_GB2312" w:eastAsia="仿宋_GB2312" w:cs="仿宋_GB2312"/>
                <w:color w:val="000000"/>
                <w:sz w:val="22"/>
                <w:szCs w:val="22"/>
              </w:rPr>
              <w:t>；</w:t>
            </w:r>
            <w:r>
              <w:rPr>
                <w:rFonts w:hint="eastAsia" w:ascii="仿宋_GB2312" w:eastAsia="仿宋_GB2312" w:cs="仿宋_GB2312"/>
                <w:color w:val="000000"/>
                <w:sz w:val="22"/>
                <w:szCs w:val="22"/>
              </w:rPr>
              <w:t>《雷电防护装置设计审核和竣工验收规定》第十八条</w:t>
            </w:r>
          </w:p>
        </w:tc>
      </w:tr>
      <w:tr w14:paraId="44F854B4">
        <w:tblPrEx>
          <w:tblCellMar>
            <w:top w:w="0" w:type="dxa"/>
            <w:left w:w="108" w:type="dxa"/>
            <w:bottom w:w="0" w:type="dxa"/>
            <w:right w:w="108" w:type="dxa"/>
          </w:tblCellMar>
        </w:tblPrEx>
        <w:trPr>
          <w:trHeight w:val="2376"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55D6773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2</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72B7E00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道路危险货物运输</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4E65C57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运输公司、运输车辆</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66C5760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3D7296A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71DB1C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货物（危险化学品）道路运输的许可以及运输工具的安全管理和从业人员资格认可。（负责核发危险货物道路运输经营许可证，定期对危险货物道路运输企业动态监控工作的情况进行考核，依法对危险货物道路运输企业进行监督检查，负责对运输环节充装查验、核准、记录等进行监管）</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9DF680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《危险货物道路运输安全管理办法》第五十</w:t>
            </w:r>
            <w:r>
              <w:rPr>
                <w:rFonts w:hint="eastAsia" w:ascii="仿宋_GB2312" w:hAnsi="方正兰亭黑_GBK" w:eastAsia="仿宋_GB2312" w:cs="仿宋_GB2312"/>
                <w:color w:val="000000"/>
                <w:kern w:val="0"/>
                <w:sz w:val="22"/>
                <w:szCs w:val="22"/>
              </w:rPr>
              <w:t>一</w:t>
            </w:r>
            <w:r>
              <w:rPr>
                <w:rFonts w:ascii="仿宋_GB2312" w:hAnsi="方正兰亭黑_GBK" w:eastAsia="仿宋_GB2312" w:cs="仿宋_GB2312"/>
                <w:color w:val="000000"/>
                <w:kern w:val="0"/>
                <w:sz w:val="22"/>
                <w:szCs w:val="22"/>
              </w:rPr>
              <w:t>条</w:t>
            </w:r>
            <w:r>
              <w:rPr>
                <w:rFonts w:hint="eastAsia" w:ascii="仿宋_GB2312" w:hAnsi="方正兰亭黑_GBK" w:eastAsia="仿宋_GB2312" w:cs="仿宋_GB2312"/>
                <w:color w:val="000000"/>
                <w:kern w:val="0"/>
                <w:sz w:val="22"/>
                <w:szCs w:val="22"/>
              </w:rPr>
              <w:t>；</w:t>
            </w:r>
            <w:r>
              <w:rPr>
                <w:rFonts w:ascii="仿宋_GB2312" w:hAnsi="方正兰亭黑_GBK" w:eastAsia="仿宋_GB2312" w:cs="仿宋_GB2312"/>
                <w:color w:val="000000"/>
                <w:kern w:val="0"/>
                <w:sz w:val="22"/>
                <w:szCs w:val="22"/>
              </w:rPr>
              <w:t>《中华人民共和国安全生产法》第六十二条</w:t>
            </w:r>
            <w:r>
              <w:rPr>
                <w:rFonts w:hint="eastAsia" w:ascii="仿宋_GB2312" w:hAnsi="方正兰亭黑_GBK" w:eastAsia="仿宋_GB2312" w:cs="仿宋_GB2312"/>
                <w:color w:val="000000"/>
                <w:kern w:val="0"/>
                <w:sz w:val="22"/>
                <w:szCs w:val="22"/>
              </w:rPr>
              <w:t>、第六十五条</w:t>
            </w:r>
          </w:p>
        </w:tc>
      </w:tr>
      <w:tr w14:paraId="3C779483">
        <w:tblPrEx>
          <w:tblCellMar>
            <w:top w:w="0" w:type="dxa"/>
            <w:left w:w="108" w:type="dxa"/>
            <w:bottom w:w="0" w:type="dxa"/>
            <w:right w:w="108" w:type="dxa"/>
          </w:tblCellMar>
        </w:tblPrEx>
        <w:trPr>
          <w:trHeight w:val="1839"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2334CD2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16F9304"/>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C7BC037"/>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AA762D0"/>
        </w:tc>
        <w:tc>
          <w:tcPr>
            <w:tcW w:w="1364" w:type="dxa"/>
            <w:tcBorders>
              <w:top w:val="single" w:color="000000" w:sz="4" w:space="0"/>
              <w:left w:val="single" w:color="000000" w:sz="4" w:space="0"/>
              <w:bottom w:val="single" w:color="000000" w:sz="4" w:space="0"/>
              <w:right w:val="single" w:color="000000" w:sz="4" w:space="0"/>
            </w:tcBorders>
            <w:noWrap/>
            <w:vAlign w:val="center"/>
          </w:tcPr>
          <w:p w14:paraId="5587852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AE61E4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运输车辆资质是否齐全、是否存在逾期未检验和未报废、非法改装、使用性质不符合等安全隐患的情况。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13C171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《中华人民共和国道路交通安全法》第十三条等、第十四条</w:t>
            </w:r>
          </w:p>
        </w:tc>
      </w:tr>
      <w:tr w14:paraId="78FA078C">
        <w:tblPrEx>
          <w:tblCellMar>
            <w:top w:w="0" w:type="dxa"/>
            <w:left w:w="108" w:type="dxa"/>
            <w:bottom w:w="0" w:type="dxa"/>
            <w:right w:w="108" w:type="dxa"/>
          </w:tblCellMar>
        </w:tblPrEx>
        <w:trPr>
          <w:trHeight w:val="1631"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468A6A2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3</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052FAD9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药品、医疗器械</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3599E3A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药店、医疗器械经营主体</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06DB8FE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1816C59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5587BA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对药品、医疗器械经营主体的资质、经营活动情况进行监督检查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0977E6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《中华人民共和国药品管理法》第九十九条；《医疗器械监督管理条例》第六十九条</w:t>
            </w:r>
          </w:p>
        </w:tc>
      </w:tr>
      <w:tr w14:paraId="420CBAF0">
        <w:tblPrEx>
          <w:tblCellMar>
            <w:top w:w="0" w:type="dxa"/>
            <w:left w:w="108" w:type="dxa"/>
            <w:bottom w:w="0" w:type="dxa"/>
            <w:right w:w="108" w:type="dxa"/>
          </w:tblCellMar>
        </w:tblPrEx>
        <w:trPr>
          <w:trHeight w:val="138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E4ACCC1"/>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0A9EB7FC"/>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2D0818E1"/>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0F99A39"/>
        </w:tc>
        <w:tc>
          <w:tcPr>
            <w:tcW w:w="1364" w:type="dxa"/>
            <w:tcBorders>
              <w:top w:val="single" w:color="000000" w:sz="4" w:space="0"/>
              <w:left w:val="single" w:color="000000" w:sz="4" w:space="0"/>
              <w:bottom w:val="single" w:color="000000" w:sz="4" w:space="0"/>
              <w:right w:val="single" w:color="000000" w:sz="4" w:space="0"/>
            </w:tcBorders>
            <w:noWrap/>
            <w:vAlign w:val="center"/>
          </w:tcPr>
          <w:p w14:paraId="72DF175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医疗保障局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DC8EDB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对医疗保障基金的监管</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B2C5B9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《医疗保障基金使用监督管理条例》第六条</w:t>
            </w:r>
          </w:p>
        </w:tc>
      </w:tr>
      <w:tr w14:paraId="52986077">
        <w:tblPrEx>
          <w:tblCellMar>
            <w:top w:w="0" w:type="dxa"/>
            <w:left w:w="108" w:type="dxa"/>
            <w:bottom w:w="0" w:type="dxa"/>
            <w:right w:w="108" w:type="dxa"/>
          </w:tblCellMar>
        </w:tblPrEx>
        <w:trPr>
          <w:trHeight w:val="1659"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6C43E11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4</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55B9D0E5">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文化</w:t>
            </w:r>
          </w:p>
          <w:p w14:paraId="778EC96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娱乐</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2D3400B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KTV、网吧、游戏游艺场所</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65B032C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文旅局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3AFBCB8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文旅局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5F649C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对娱乐场所未经文化主管部门批准的营业性演出活动提供场地的检查；对娱乐场所是否按规定悬挂娱乐经营许可证及未成年人禁入或限入标志的检查；对娱乐服务企业是否在禁止营业时间内营业等情况进行检查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4E7E6C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《互联网上网服务营业场所管理条例》第四条、《娱乐场所管理条例》第十三条、第十八条、第二十三条</w:t>
            </w:r>
          </w:p>
        </w:tc>
      </w:tr>
      <w:tr w14:paraId="5786B1DC">
        <w:tblPrEx>
          <w:tblCellMar>
            <w:top w:w="0" w:type="dxa"/>
            <w:left w:w="108" w:type="dxa"/>
            <w:bottom w:w="0" w:type="dxa"/>
            <w:right w:w="108" w:type="dxa"/>
          </w:tblCellMar>
        </w:tblPrEx>
        <w:trPr>
          <w:trHeight w:val="1454"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5A6764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B21917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A6C9996"/>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98A7D53"/>
        </w:tc>
        <w:tc>
          <w:tcPr>
            <w:tcW w:w="1364" w:type="dxa"/>
            <w:tcBorders>
              <w:top w:val="single" w:color="000000" w:sz="4" w:space="0"/>
              <w:left w:val="single" w:color="000000" w:sz="4" w:space="0"/>
              <w:bottom w:val="single" w:color="000000" w:sz="4" w:space="0"/>
              <w:right w:val="single" w:color="000000" w:sz="4" w:space="0"/>
            </w:tcBorders>
            <w:noWrap/>
            <w:vAlign w:val="center"/>
          </w:tcPr>
          <w:p w14:paraId="3F64D37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C8C763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对娱乐场所闭路电视监控录像资料、从业人员明薄、营业日志、治安管理等情况进行检查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81D2EA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《娱乐场所管理条例》第三十二条《娱乐场所治安管理办法》第三十三条</w:t>
            </w:r>
          </w:p>
        </w:tc>
      </w:tr>
      <w:tr w14:paraId="714141F9">
        <w:tblPrEx>
          <w:tblCellMar>
            <w:top w:w="0" w:type="dxa"/>
            <w:left w:w="108" w:type="dxa"/>
            <w:bottom w:w="0" w:type="dxa"/>
            <w:right w:w="108" w:type="dxa"/>
          </w:tblCellMar>
        </w:tblPrEx>
        <w:trPr>
          <w:trHeight w:val="138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6AC43C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C6CCEB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79EC708"/>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9DAD16B"/>
        </w:tc>
        <w:tc>
          <w:tcPr>
            <w:tcW w:w="1364" w:type="dxa"/>
            <w:tcBorders>
              <w:top w:val="single" w:color="000000" w:sz="4" w:space="0"/>
              <w:left w:val="single" w:color="000000" w:sz="4" w:space="0"/>
              <w:bottom w:val="single" w:color="000000" w:sz="4" w:space="0"/>
              <w:right w:val="single" w:color="000000" w:sz="4" w:space="0"/>
            </w:tcBorders>
            <w:noWrap/>
            <w:vAlign w:val="center"/>
          </w:tcPr>
          <w:p w14:paraId="7D22094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0306159">
            <w:pPr>
              <w:widowControl/>
              <w:spacing w:line="240" w:lineRule="exact"/>
              <w:jc w:val="left"/>
              <w:textAlignment w:val="center"/>
              <w:rPr>
                <w:rFonts w:ascii="仿宋_GB2312" w:eastAsia="仿宋_GB2312" w:cs="仿宋_GB2312"/>
                <w:color w:val="000000"/>
                <w:sz w:val="22"/>
                <w:szCs w:val="22"/>
              </w:rPr>
            </w:pPr>
            <w:r>
              <w:rPr>
                <w:rFonts w:ascii="仿宋_GB2312" w:eastAsia="仿宋_GB2312" w:cs="仿宋_GB2312"/>
                <w:color w:val="000000"/>
                <w:sz w:val="22"/>
                <w:szCs w:val="22"/>
              </w:rPr>
              <w:t>对场所的营业执照</w:t>
            </w:r>
            <w:r>
              <w:rPr>
                <w:rFonts w:hint="eastAsia" w:ascii="仿宋_GB2312" w:eastAsia="仿宋_GB2312" w:cs="仿宋_GB2312"/>
                <w:color w:val="000000"/>
                <w:sz w:val="22"/>
                <w:szCs w:val="22"/>
              </w:rPr>
              <w:t>、食品</w:t>
            </w:r>
            <w:r>
              <w:rPr>
                <w:rFonts w:ascii="仿宋_GB2312" w:eastAsia="仿宋_GB2312" w:cs="仿宋_GB2312"/>
                <w:color w:val="000000"/>
                <w:sz w:val="22"/>
                <w:szCs w:val="22"/>
              </w:rPr>
              <w:t>经营许可证</w:t>
            </w:r>
            <w:r>
              <w:rPr>
                <w:rFonts w:hint="eastAsia" w:ascii="仿宋_GB2312" w:eastAsia="仿宋_GB2312" w:cs="仿宋_GB2312"/>
                <w:color w:val="000000"/>
                <w:sz w:val="22"/>
                <w:szCs w:val="22"/>
              </w:rPr>
              <w:t>等</w:t>
            </w:r>
            <w:r>
              <w:rPr>
                <w:rFonts w:ascii="仿宋_GB2312" w:eastAsia="仿宋_GB2312" w:cs="仿宋_GB2312"/>
                <w:color w:val="000000"/>
                <w:sz w:val="22"/>
                <w:szCs w:val="22"/>
              </w:rPr>
              <w:t>证照公示</w:t>
            </w:r>
            <w:r>
              <w:rPr>
                <w:rFonts w:hint="eastAsia" w:ascii="仿宋_GB2312" w:eastAsia="仿宋_GB2312" w:cs="仿宋_GB2312"/>
                <w:color w:val="000000"/>
                <w:sz w:val="22"/>
                <w:szCs w:val="22"/>
              </w:rPr>
              <w:t>情况进行监督检查</w:t>
            </w:r>
            <w:r>
              <w:rPr>
                <w:rFonts w:ascii="仿宋_GB2312" w:eastAsia="仿宋_GB2312" w:cs="仿宋_GB2312"/>
                <w:color w:val="000000"/>
                <w:sz w:val="22"/>
                <w:szCs w:val="22"/>
              </w:rPr>
              <w:t>；</w:t>
            </w:r>
            <w:r>
              <w:rPr>
                <w:rFonts w:hint="eastAsia" w:ascii="仿宋_GB2312" w:eastAsia="仿宋_GB2312" w:cs="仿宋_GB2312"/>
                <w:color w:val="000000"/>
                <w:sz w:val="22"/>
                <w:szCs w:val="22"/>
              </w:rPr>
              <w:t>对经营的</w:t>
            </w:r>
            <w:r>
              <w:rPr>
                <w:rFonts w:hint="eastAsia" w:ascii="仿宋_GB2312" w:hAnsi="方正兰亭黑_GBK" w:eastAsia="仿宋_GB2312" w:cs="仿宋_GB2312"/>
                <w:color w:val="000000"/>
                <w:kern w:val="0"/>
                <w:sz w:val="22"/>
                <w:szCs w:val="22"/>
              </w:rPr>
              <w:t>食品、使用的</w:t>
            </w:r>
            <w:r>
              <w:rPr>
                <w:rFonts w:ascii="仿宋_GB2312" w:hAnsi="方正兰亭黑_GBK" w:eastAsia="仿宋_GB2312" w:cs="仿宋_GB2312"/>
                <w:color w:val="000000"/>
                <w:kern w:val="0"/>
                <w:sz w:val="22"/>
                <w:szCs w:val="22"/>
              </w:rPr>
              <w:t>特种设备进行监督检查</w:t>
            </w:r>
            <w:r>
              <w:rPr>
                <w:rFonts w:hint="eastAsia" w:ascii="仿宋_GB2312" w:hAnsi="方正兰亭黑_GBK" w:eastAsia="仿宋_GB2312" w:cs="仿宋_GB2312"/>
                <w:color w:val="000000"/>
                <w:kern w:val="0"/>
                <w:sz w:val="22"/>
                <w:szCs w:val="22"/>
              </w:rPr>
              <w:t>。</w:t>
            </w:r>
          </w:p>
          <w:p w14:paraId="0891A700">
            <w:pPr>
              <w:widowControl/>
              <w:spacing w:line="240" w:lineRule="exact"/>
              <w:jc w:val="left"/>
              <w:textAlignment w:val="center"/>
              <w:rPr>
                <w:rFonts w:hint="eastAsia" w:ascii="仿宋_GB2312" w:hAnsi="方正兰亭黑_GBK" w:eastAsia="仿宋_GB2312" w:cs="仿宋_GB2312"/>
                <w:color w:val="000000"/>
                <w:sz w:val="22"/>
                <w:szCs w:val="22"/>
              </w:rPr>
            </w:pP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A4B99C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《企业信息公示暂行条例》第三条、第八条、第九条；《中华人民共和国特种设备安全法》第五十七条；《中华人民共和国食品安全法》第一百一十条</w:t>
            </w:r>
          </w:p>
        </w:tc>
      </w:tr>
      <w:tr w14:paraId="082B3AC6">
        <w:tblPrEx>
          <w:tblCellMar>
            <w:top w:w="0" w:type="dxa"/>
            <w:left w:w="108" w:type="dxa"/>
            <w:bottom w:w="0" w:type="dxa"/>
            <w:right w:w="108" w:type="dxa"/>
          </w:tblCellMar>
        </w:tblPrEx>
        <w:trPr>
          <w:trHeight w:val="126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5F78DE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09D6CF33"/>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B9691D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81438BC"/>
        </w:tc>
        <w:tc>
          <w:tcPr>
            <w:tcW w:w="1364" w:type="dxa"/>
            <w:tcBorders>
              <w:top w:val="single" w:color="000000" w:sz="4" w:space="0"/>
              <w:left w:val="single" w:color="000000" w:sz="4" w:space="0"/>
              <w:bottom w:val="single" w:color="000000" w:sz="4" w:space="0"/>
              <w:right w:val="single" w:color="000000" w:sz="4" w:space="0"/>
            </w:tcBorders>
            <w:noWrap/>
            <w:vAlign w:val="center"/>
          </w:tcPr>
          <w:p w14:paraId="1D47C00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05B271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95518A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07A91E5E">
        <w:tblPrEx>
          <w:tblCellMar>
            <w:top w:w="0" w:type="dxa"/>
            <w:left w:w="108" w:type="dxa"/>
            <w:bottom w:w="0" w:type="dxa"/>
            <w:right w:w="108" w:type="dxa"/>
          </w:tblCellMar>
        </w:tblPrEx>
        <w:trPr>
          <w:trHeight w:val="201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2D1F8DC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E75C5F6"/>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E16D1AF"/>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7CB6EAB"/>
        </w:tc>
        <w:tc>
          <w:tcPr>
            <w:tcW w:w="1364" w:type="dxa"/>
            <w:tcBorders>
              <w:top w:val="single" w:color="000000" w:sz="4" w:space="0"/>
              <w:left w:val="single" w:color="000000" w:sz="4" w:space="0"/>
              <w:bottom w:val="single" w:color="000000" w:sz="4" w:space="0"/>
              <w:right w:val="single" w:color="000000" w:sz="4" w:space="0"/>
            </w:tcBorders>
            <w:noWrap/>
            <w:vAlign w:val="center"/>
          </w:tcPr>
          <w:p w14:paraId="5038800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30E306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对娱乐场所卫生许可、公共用品用具清洗、消毒、保洁，从业人员是否持有效健康合格证明上岗、是否保持良好的环境卫生等情况的检查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9E8DAD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《公共场所卫生管理条例》第十条、第十一条、第十二条；《公共场所卫生管理条例实施细则》第三条、第三十一条</w:t>
            </w:r>
          </w:p>
        </w:tc>
      </w:tr>
      <w:tr w14:paraId="67967D06">
        <w:tblPrEx>
          <w:tblCellMar>
            <w:top w:w="0" w:type="dxa"/>
            <w:left w:w="108" w:type="dxa"/>
            <w:bottom w:w="0" w:type="dxa"/>
            <w:right w:w="108" w:type="dxa"/>
          </w:tblCellMar>
        </w:tblPrEx>
        <w:trPr>
          <w:trHeight w:val="1546"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65E5927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5</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3EED8478">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医疗</w:t>
            </w:r>
          </w:p>
          <w:p w14:paraId="7A2F419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机构</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07A007F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医院、卫生院、疾控中心、诊所</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05CF5F2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7CE9117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8253B7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对医疗机构执业资质、执业活动、登记事项，医疗器械使用行为等情况的检查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C10E72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《医疗机构管理条例》第五条、第三十九条、第四十条、第五十六条</w:t>
            </w:r>
          </w:p>
        </w:tc>
      </w:tr>
      <w:tr w14:paraId="2333BE13">
        <w:tblPrEx>
          <w:tblCellMar>
            <w:top w:w="0" w:type="dxa"/>
            <w:left w:w="108" w:type="dxa"/>
            <w:bottom w:w="0" w:type="dxa"/>
            <w:right w:w="108" w:type="dxa"/>
          </w:tblCellMar>
        </w:tblPrEx>
        <w:trPr>
          <w:trHeight w:val="1035"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9B9455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9B29BF5"/>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3932398"/>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30182B25"/>
        </w:tc>
        <w:tc>
          <w:tcPr>
            <w:tcW w:w="1364" w:type="dxa"/>
            <w:tcBorders>
              <w:top w:val="single" w:color="000000" w:sz="4" w:space="0"/>
              <w:left w:val="single" w:color="000000" w:sz="4" w:space="0"/>
              <w:bottom w:val="single" w:color="000000" w:sz="4" w:space="0"/>
              <w:right w:val="single" w:color="000000" w:sz="4" w:space="0"/>
            </w:tcBorders>
            <w:noWrap/>
            <w:vAlign w:val="center"/>
          </w:tcPr>
          <w:p w14:paraId="6AF5712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医疗保障局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915D44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对医疗保障基金的监管</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3F31E9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《医疗保障基金使用监督管理条例》第六条</w:t>
            </w:r>
          </w:p>
        </w:tc>
      </w:tr>
      <w:tr w14:paraId="062B3974">
        <w:tblPrEx>
          <w:tblCellMar>
            <w:top w:w="0" w:type="dxa"/>
            <w:left w:w="108" w:type="dxa"/>
            <w:bottom w:w="0" w:type="dxa"/>
            <w:right w:w="108" w:type="dxa"/>
          </w:tblCellMar>
        </w:tblPrEx>
        <w:trPr>
          <w:trHeight w:val="176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20E8CC7"/>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593E40F5"/>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F1C18DC"/>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3605027"/>
        </w:tc>
        <w:tc>
          <w:tcPr>
            <w:tcW w:w="1364" w:type="dxa"/>
            <w:tcBorders>
              <w:top w:val="single" w:color="000000" w:sz="4" w:space="0"/>
              <w:left w:val="single" w:color="000000" w:sz="4" w:space="0"/>
              <w:bottom w:val="single" w:color="000000" w:sz="4" w:space="0"/>
              <w:right w:val="single" w:color="000000" w:sz="4" w:space="0"/>
            </w:tcBorders>
            <w:noWrap/>
            <w:vAlign w:val="center"/>
          </w:tcPr>
          <w:p w14:paraId="20DC1F8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493801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对核辐射、污水处置、医废处置情况的检查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2EAD43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放射性污染防治法》第十一条第二款，《放射性同位素与射线装置安全和防护条例》第四十六条，《中华人民共和国水污染防治法》第三十条，《中华人民共和国固体废物污染环境防治法》第九十条第二款，《医疗废物管理条例》第五条、第三十六条</w:t>
            </w:r>
          </w:p>
        </w:tc>
      </w:tr>
      <w:tr w14:paraId="44D645FE">
        <w:tblPrEx>
          <w:tblCellMar>
            <w:top w:w="0" w:type="dxa"/>
            <w:left w:w="108" w:type="dxa"/>
            <w:bottom w:w="0" w:type="dxa"/>
            <w:right w:w="108" w:type="dxa"/>
          </w:tblCellMar>
        </w:tblPrEx>
        <w:trPr>
          <w:trHeight w:val="124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5D5137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88CCB5E"/>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5B739B2"/>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8A0D60C"/>
        </w:tc>
        <w:tc>
          <w:tcPr>
            <w:tcW w:w="1364" w:type="dxa"/>
            <w:tcBorders>
              <w:top w:val="single" w:color="000000" w:sz="4" w:space="0"/>
              <w:left w:val="single" w:color="000000" w:sz="4" w:space="0"/>
              <w:bottom w:val="single" w:color="000000" w:sz="4" w:space="0"/>
              <w:right w:val="single" w:color="000000" w:sz="4" w:space="0"/>
            </w:tcBorders>
            <w:noWrap/>
            <w:vAlign w:val="center"/>
          </w:tcPr>
          <w:p w14:paraId="6864A6F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87BA8B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对医院履行法定消防安全职责情况及对使用领域的消防产品质量的监督检查。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1192B8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1C9AC12D">
        <w:tblPrEx>
          <w:tblCellMar>
            <w:top w:w="0" w:type="dxa"/>
            <w:left w:w="108" w:type="dxa"/>
            <w:bottom w:w="0" w:type="dxa"/>
            <w:right w:w="108" w:type="dxa"/>
          </w:tblCellMar>
        </w:tblPrEx>
        <w:trPr>
          <w:trHeight w:val="1918"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255E35A3"/>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BE3971E"/>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DF7E0FE"/>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C6E11DC"/>
        </w:tc>
        <w:tc>
          <w:tcPr>
            <w:tcW w:w="1364" w:type="dxa"/>
            <w:tcBorders>
              <w:top w:val="single" w:color="000000" w:sz="4" w:space="0"/>
              <w:left w:val="single" w:color="000000" w:sz="4" w:space="0"/>
              <w:bottom w:val="single" w:color="000000" w:sz="4" w:space="0"/>
              <w:right w:val="single" w:color="000000" w:sz="4" w:space="0"/>
            </w:tcBorders>
            <w:noWrap/>
            <w:vAlign w:val="center"/>
          </w:tcPr>
          <w:p w14:paraId="52DA116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C067237">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对医疗器械质量的监督检查；医疗机构购进药品时索取、查验、保存供货企业有关证件、资料、票据检查、对医疗机构药品、医疗器械质量管理制度的落实情况进行检查</w:t>
            </w:r>
            <w:r>
              <w:rPr>
                <w:rFonts w:hint="eastAsia" w:ascii="仿宋_GB2312" w:hAnsi="方正兰亭黑_GBK" w:eastAsia="仿宋_GB2312" w:cs="仿宋_GB2312"/>
                <w:color w:val="000000"/>
                <w:kern w:val="0"/>
                <w:sz w:val="22"/>
                <w:szCs w:val="22"/>
              </w:rPr>
              <w:t>，对使用的特种设备进行监督检查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1E18475">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《医疗器械监督管理条例》第三十九条、第六十九条；《中华人民共和国产品质量法》第十五条；《宁夏回族自治区产品质量监督管理条例》；第八条《中华人民共和国药品管理法》第九十九条</w:t>
            </w:r>
            <w:r>
              <w:rPr>
                <w:rFonts w:hint="eastAsia" w:ascii="仿宋_GB2312" w:hAnsi="方正兰亭黑_GBK" w:eastAsia="仿宋_GB2312" w:cs="仿宋_GB2312"/>
                <w:color w:val="000000"/>
                <w:kern w:val="0"/>
                <w:sz w:val="22"/>
                <w:szCs w:val="22"/>
              </w:rPr>
              <w:t>、</w:t>
            </w:r>
            <w:r>
              <w:rPr>
                <w:rFonts w:ascii="仿宋_GB2312" w:hAnsi="方正兰亭黑_GBK" w:eastAsia="仿宋_GB2312" w:cs="仿宋_GB2312"/>
                <w:color w:val="000000"/>
                <w:kern w:val="0"/>
                <w:sz w:val="22"/>
                <w:szCs w:val="22"/>
              </w:rPr>
              <w:t>《中华人民共和国特种设备安全法》第五十七条；</w:t>
            </w:r>
          </w:p>
        </w:tc>
      </w:tr>
      <w:tr w14:paraId="7C2A93BB">
        <w:tblPrEx>
          <w:tblCellMar>
            <w:top w:w="0" w:type="dxa"/>
            <w:left w:w="108" w:type="dxa"/>
            <w:bottom w:w="0" w:type="dxa"/>
            <w:right w:w="108" w:type="dxa"/>
          </w:tblCellMar>
        </w:tblPrEx>
        <w:trPr>
          <w:trHeight w:val="1328"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0C2EDBE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6</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6C2B0F8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食品</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5BF5257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学校食堂</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4AC3676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5C111FA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E2F6D5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对学校食堂的食品经营许可情况、食品安全管理情况、人员管理情况等进行检查；对企业食品生产经营活动、特种设备进行监督检查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8A15AD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食品安全法》第三十三条、第三十五条、第四十四条、第四十五条、第五十三条、第五十七条、第一百一十条；《中华人民共和国特种设备安全法》第五十七条；《特种设备安全监察条例》第五十条</w:t>
            </w:r>
          </w:p>
        </w:tc>
      </w:tr>
      <w:tr w14:paraId="1B2EA6A3">
        <w:tblPrEx>
          <w:tblCellMar>
            <w:top w:w="0" w:type="dxa"/>
            <w:left w:w="108" w:type="dxa"/>
            <w:bottom w:w="0" w:type="dxa"/>
            <w:right w:w="108" w:type="dxa"/>
          </w:tblCellMar>
        </w:tblPrEx>
        <w:trPr>
          <w:trHeight w:val="65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36068A3"/>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55D2A422"/>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27379EF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9A809DC"/>
        </w:tc>
        <w:tc>
          <w:tcPr>
            <w:tcW w:w="1364" w:type="dxa"/>
            <w:tcBorders>
              <w:top w:val="single" w:color="000000" w:sz="4" w:space="0"/>
              <w:left w:val="single" w:color="000000" w:sz="4" w:space="0"/>
              <w:bottom w:val="single" w:color="000000" w:sz="4" w:space="0"/>
              <w:right w:val="single" w:color="000000" w:sz="4" w:space="0"/>
            </w:tcBorders>
            <w:noWrap/>
            <w:vAlign w:val="center"/>
          </w:tcPr>
          <w:p w14:paraId="7193F9F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教育局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4E88971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对学校食堂以及学生集体用餐情况的检查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FCA291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《学校食品安全与营养健康管理规定》第七条</w:t>
            </w:r>
          </w:p>
        </w:tc>
      </w:tr>
      <w:tr w14:paraId="36A36706">
        <w:tblPrEx>
          <w:tblCellMar>
            <w:top w:w="0" w:type="dxa"/>
            <w:left w:w="108" w:type="dxa"/>
            <w:bottom w:w="0" w:type="dxa"/>
            <w:right w:w="108" w:type="dxa"/>
          </w:tblCellMar>
        </w:tblPrEx>
        <w:trPr>
          <w:trHeight w:val="1114"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1819D6B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6688EBC"/>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3CBBE5F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食品生产加工企业</w:t>
            </w:r>
          </w:p>
        </w:tc>
        <w:tc>
          <w:tcPr>
            <w:tcW w:w="585" w:type="dxa"/>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14:paraId="6018E8DD">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市场监管局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06B1081E">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B6ABCB3">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对企业食品生产经营活动、</w:t>
            </w:r>
            <w:r>
              <w:rPr>
                <w:rFonts w:hint="eastAsia" w:ascii="仿宋_GB2312" w:hAnsi="方正兰亭黑_GBK" w:eastAsia="仿宋_GB2312" w:cs="仿宋_GB2312"/>
                <w:color w:val="000000"/>
                <w:kern w:val="0"/>
                <w:sz w:val="22"/>
                <w:szCs w:val="22"/>
              </w:rPr>
              <w:t>使用的</w:t>
            </w:r>
            <w:r>
              <w:rPr>
                <w:rFonts w:ascii="仿宋_GB2312" w:hAnsi="方正兰亭黑_GBK" w:eastAsia="仿宋_GB2312" w:cs="仿宋_GB2312"/>
                <w:color w:val="000000"/>
                <w:kern w:val="0"/>
                <w:sz w:val="22"/>
                <w:szCs w:val="22"/>
              </w:rPr>
              <w:t>特种设备进行监督检查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D6E9F3E">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《中华人民共和国食品安全法》第三十三条、第三十五条、第四十四条、第四十五条、第五十三条、第一百一十条；《中华人民共和国特种设备安全法》第五十七条、《特种设备安全监察条例》第五十条</w:t>
            </w:r>
          </w:p>
        </w:tc>
      </w:tr>
      <w:tr w14:paraId="35E31B5D">
        <w:tblPrEx>
          <w:tblCellMar>
            <w:top w:w="0" w:type="dxa"/>
            <w:left w:w="108" w:type="dxa"/>
            <w:bottom w:w="0" w:type="dxa"/>
            <w:right w:w="108" w:type="dxa"/>
          </w:tblCellMar>
        </w:tblPrEx>
        <w:trPr>
          <w:trHeight w:val="769"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FA7FEDC"/>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7D931AD"/>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6A989EB"/>
        </w:tc>
        <w:tc>
          <w:tcPr>
            <w:tcW w:w="585"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14:paraId="1CB37483"/>
        </w:tc>
        <w:tc>
          <w:tcPr>
            <w:tcW w:w="1364" w:type="dxa"/>
            <w:tcBorders>
              <w:top w:val="single" w:color="000000" w:sz="4" w:space="0"/>
              <w:left w:val="single" w:color="000000" w:sz="4" w:space="0"/>
              <w:bottom w:val="single" w:color="000000" w:sz="4" w:space="0"/>
              <w:right w:val="single" w:color="000000" w:sz="4" w:space="0"/>
            </w:tcBorders>
            <w:noWrap/>
            <w:vAlign w:val="center"/>
          </w:tcPr>
          <w:p w14:paraId="070A1425">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w:t>
            </w:r>
          </w:p>
          <w:p w14:paraId="1D5A8E4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118652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检查企业水、固体废物等的排放和污染防治情况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785113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《中华人民共和国水污染防治法》第三十条；《中华人民共和国固体废物污染环境防治法》第九条、第二十六条</w:t>
            </w:r>
          </w:p>
        </w:tc>
      </w:tr>
      <w:tr w14:paraId="6F04BE2A">
        <w:tblPrEx>
          <w:tblCellMar>
            <w:top w:w="0" w:type="dxa"/>
            <w:left w:w="108" w:type="dxa"/>
            <w:bottom w:w="0" w:type="dxa"/>
            <w:right w:w="108" w:type="dxa"/>
          </w:tblCellMar>
        </w:tblPrEx>
        <w:trPr>
          <w:trHeight w:val="969"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1AA8E7F5"/>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ECFEBA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360D0102"/>
        </w:tc>
        <w:tc>
          <w:tcPr>
            <w:tcW w:w="585"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14:paraId="761C5A89"/>
        </w:tc>
        <w:tc>
          <w:tcPr>
            <w:tcW w:w="1364" w:type="dxa"/>
            <w:tcBorders>
              <w:top w:val="single" w:color="000000" w:sz="4" w:space="0"/>
              <w:left w:val="single" w:color="000000" w:sz="4" w:space="0"/>
              <w:bottom w:val="single" w:color="000000" w:sz="4" w:space="0"/>
              <w:right w:val="single" w:color="000000" w:sz="4" w:space="0"/>
            </w:tcBorders>
            <w:noWrap/>
            <w:vAlign w:val="center"/>
          </w:tcPr>
          <w:p w14:paraId="501A084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921A7F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对粮食经营者从事粮食收购、储存、运输活动和政策性粮食的购销活动，及执行国家粮食流通统计制度的情况进行监督检查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DE8197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《粮食流通管理条例》第三十八条</w:t>
            </w:r>
          </w:p>
        </w:tc>
      </w:tr>
      <w:tr w14:paraId="2335B2FE">
        <w:tblPrEx>
          <w:tblCellMar>
            <w:top w:w="0" w:type="dxa"/>
            <w:left w:w="108" w:type="dxa"/>
            <w:bottom w:w="0" w:type="dxa"/>
            <w:right w:w="108" w:type="dxa"/>
          </w:tblCellMar>
        </w:tblPrEx>
        <w:trPr>
          <w:trHeight w:val="79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7794E8F9"/>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1A69CC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569F693"/>
        </w:tc>
        <w:tc>
          <w:tcPr>
            <w:tcW w:w="585"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14:paraId="67E96725"/>
        </w:tc>
        <w:tc>
          <w:tcPr>
            <w:tcW w:w="1364" w:type="dxa"/>
            <w:tcBorders>
              <w:top w:val="single" w:color="000000" w:sz="4" w:space="0"/>
              <w:left w:val="single" w:color="000000" w:sz="4" w:space="0"/>
              <w:bottom w:val="single" w:color="000000" w:sz="4" w:space="0"/>
              <w:right w:val="single" w:color="000000" w:sz="4" w:space="0"/>
            </w:tcBorders>
            <w:noWrap/>
            <w:vAlign w:val="center"/>
          </w:tcPr>
          <w:p w14:paraId="3E37D70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1A5814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对生产经营企业事故隐患排查、安全培训及特种作业人员持证上岗等情况进行检查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B721E5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《安全生产事故隐患排查治理暂行规定》第二十条；《生产经营单位安全培训规定》第二十六条</w:t>
            </w:r>
          </w:p>
        </w:tc>
      </w:tr>
      <w:tr w14:paraId="7D0D13AE">
        <w:tblPrEx>
          <w:tblCellMar>
            <w:top w:w="0" w:type="dxa"/>
            <w:left w:w="108" w:type="dxa"/>
            <w:bottom w:w="0" w:type="dxa"/>
            <w:right w:w="108" w:type="dxa"/>
          </w:tblCellMar>
        </w:tblPrEx>
        <w:trPr>
          <w:trHeight w:val="85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FD19AC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F367381"/>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DD0D830"/>
        </w:tc>
        <w:tc>
          <w:tcPr>
            <w:tcW w:w="585"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14:paraId="4B1B1F81"/>
        </w:tc>
        <w:tc>
          <w:tcPr>
            <w:tcW w:w="1364" w:type="dxa"/>
            <w:tcBorders>
              <w:top w:val="single" w:color="000000" w:sz="4" w:space="0"/>
              <w:left w:val="single" w:color="000000" w:sz="4" w:space="0"/>
              <w:bottom w:val="single" w:color="000000" w:sz="4" w:space="0"/>
              <w:right w:val="single" w:color="000000" w:sz="4" w:space="0"/>
            </w:tcBorders>
            <w:noWrap/>
            <w:vAlign w:val="center"/>
          </w:tcPr>
          <w:p w14:paraId="3EA3B40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61A071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对企业和餐饮经营主体履行法定消防安全职责情况及对使用领域的消防产品质量的监督检查。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440AA8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5880E46E">
        <w:tblPrEx>
          <w:tblCellMar>
            <w:top w:w="0" w:type="dxa"/>
            <w:left w:w="108" w:type="dxa"/>
            <w:bottom w:w="0" w:type="dxa"/>
            <w:right w:w="108" w:type="dxa"/>
          </w:tblCellMar>
        </w:tblPrEx>
        <w:trPr>
          <w:trHeight w:val="108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1168E798"/>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5FA88BC"/>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0A7A8B3"/>
        </w:tc>
        <w:tc>
          <w:tcPr>
            <w:tcW w:w="585"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14:paraId="128140F8"/>
        </w:tc>
        <w:tc>
          <w:tcPr>
            <w:tcW w:w="1364" w:type="dxa"/>
            <w:tcBorders>
              <w:top w:val="single" w:color="000000" w:sz="4" w:space="0"/>
              <w:left w:val="single" w:color="000000" w:sz="4" w:space="0"/>
              <w:bottom w:val="single" w:color="000000" w:sz="4" w:space="0"/>
              <w:right w:val="single" w:color="000000" w:sz="4" w:space="0"/>
            </w:tcBorders>
            <w:noWrap/>
            <w:vAlign w:val="center"/>
          </w:tcPr>
          <w:p w14:paraId="375BC82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4CC00C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E3E7D7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《中华人民共和国劳动合同法》第七十三条、第七十四条；《中华人民共和国社会保险法》第七十七条、第七十九条；《宁夏回族自治区劳动保障监察条例》第八条</w:t>
            </w:r>
          </w:p>
        </w:tc>
      </w:tr>
      <w:tr w14:paraId="13A0EB41">
        <w:tblPrEx>
          <w:tblCellMar>
            <w:top w:w="0" w:type="dxa"/>
            <w:left w:w="108" w:type="dxa"/>
            <w:bottom w:w="0" w:type="dxa"/>
            <w:right w:w="108" w:type="dxa"/>
          </w:tblCellMar>
        </w:tblPrEx>
        <w:trPr>
          <w:trHeight w:val="1013"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6DEA961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7</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671721E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农产品</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2487D09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种植生产加工农产品的企业</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6964441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农业农村局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0A8B54D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农业农村局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EC8F4A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对农产品的生产销售的资质进行核查，对农产品质量安全、生产档案等情况进行监督检查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2EF1B8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《中华人民共和国农产品质量安全法》第五十二条、第五十三条</w:t>
            </w:r>
          </w:p>
        </w:tc>
      </w:tr>
      <w:tr w14:paraId="297DC860">
        <w:tblPrEx>
          <w:tblCellMar>
            <w:top w:w="0" w:type="dxa"/>
            <w:left w:w="108" w:type="dxa"/>
            <w:bottom w:w="0" w:type="dxa"/>
            <w:right w:w="108" w:type="dxa"/>
          </w:tblCellMar>
        </w:tblPrEx>
        <w:trPr>
          <w:trHeight w:val="895"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D895653"/>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B40862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940BB14"/>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C9B1793"/>
        </w:tc>
        <w:tc>
          <w:tcPr>
            <w:tcW w:w="1364" w:type="dxa"/>
            <w:tcBorders>
              <w:top w:val="single" w:color="000000" w:sz="4" w:space="0"/>
              <w:left w:val="single" w:color="000000" w:sz="4" w:space="0"/>
              <w:bottom w:val="single" w:color="000000" w:sz="4" w:space="0"/>
              <w:right w:val="single" w:color="000000" w:sz="4" w:space="0"/>
            </w:tcBorders>
            <w:noWrap/>
            <w:vAlign w:val="center"/>
          </w:tcPr>
          <w:p w14:paraId="44C3F203">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w:t>
            </w:r>
          </w:p>
          <w:p w14:paraId="763C71D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35FA7F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检查企业水、固体废物等的排放和污染防治情况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4E2F98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《中华人民共和国水污染防治法》第三十条；《中华人民共和国固体废物污染环境防治法》第九条、第二十六条</w:t>
            </w:r>
          </w:p>
        </w:tc>
      </w:tr>
      <w:tr w14:paraId="6099AF43">
        <w:tblPrEx>
          <w:tblCellMar>
            <w:top w:w="0" w:type="dxa"/>
            <w:left w:w="108" w:type="dxa"/>
            <w:bottom w:w="0" w:type="dxa"/>
            <w:right w:w="108" w:type="dxa"/>
          </w:tblCellMar>
        </w:tblPrEx>
        <w:trPr>
          <w:trHeight w:val="116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AC19D13"/>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D28AF64"/>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8DCF76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3DC765F"/>
        </w:tc>
        <w:tc>
          <w:tcPr>
            <w:tcW w:w="1364" w:type="dxa"/>
            <w:tcBorders>
              <w:top w:val="single" w:color="000000" w:sz="4" w:space="0"/>
              <w:left w:val="single" w:color="000000" w:sz="4" w:space="0"/>
              <w:bottom w:val="single" w:color="000000" w:sz="4" w:space="0"/>
              <w:right w:val="single" w:color="000000" w:sz="4" w:space="0"/>
            </w:tcBorders>
            <w:noWrap/>
            <w:vAlign w:val="center"/>
          </w:tcPr>
          <w:p w14:paraId="2925771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34DD87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对粮食经营者从事粮食收购、储存、运输活动和政策性粮食的购销活动，及执行国家粮食流通统计制度的情况进行监督检查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5F6629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《粮食流通管理条例》第三十八条</w:t>
            </w:r>
          </w:p>
        </w:tc>
      </w:tr>
      <w:tr w14:paraId="0D6705AA">
        <w:tblPrEx>
          <w:tblCellMar>
            <w:top w:w="0" w:type="dxa"/>
            <w:left w:w="108" w:type="dxa"/>
            <w:bottom w:w="0" w:type="dxa"/>
            <w:right w:w="108" w:type="dxa"/>
          </w:tblCellMar>
        </w:tblPrEx>
        <w:trPr>
          <w:trHeight w:val="115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0AC96554"/>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F70735E"/>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8FE3D3E"/>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3C4C6BE9"/>
        </w:tc>
        <w:tc>
          <w:tcPr>
            <w:tcW w:w="1364" w:type="dxa"/>
            <w:tcBorders>
              <w:top w:val="single" w:color="000000" w:sz="4" w:space="0"/>
              <w:left w:val="single" w:color="000000" w:sz="4" w:space="0"/>
              <w:bottom w:val="single" w:color="000000" w:sz="4" w:space="0"/>
              <w:right w:val="single" w:color="000000" w:sz="4" w:space="0"/>
            </w:tcBorders>
            <w:noWrap/>
            <w:vAlign w:val="center"/>
          </w:tcPr>
          <w:p w14:paraId="0146140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D87874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对生产经营单位事故隐患排查、安全培训及特种作业人员持证上岗等情况进行检查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941AFA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《安全生产事故隐患排查治理暂行规定》第二十条；《生产经营单位安全培训规定》第二十六条</w:t>
            </w:r>
          </w:p>
        </w:tc>
      </w:tr>
      <w:tr w14:paraId="0F804416">
        <w:tblPrEx>
          <w:tblCellMar>
            <w:top w:w="0" w:type="dxa"/>
            <w:left w:w="108" w:type="dxa"/>
            <w:bottom w:w="0" w:type="dxa"/>
            <w:right w:w="108" w:type="dxa"/>
          </w:tblCellMar>
        </w:tblPrEx>
        <w:trPr>
          <w:trHeight w:val="126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74167931"/>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1E2D8A4"/>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1E0A9DC"/>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0270A0B"/>
        </w:tc>
        <w:tc>
          <w:tcPr>
            <w:tcW w:w="1364" w:type="dxa"/>
            <w:tcBorders>
              <w:top w:val="single" w:color="000000" w:sz="4" w:space="0"/>
              <w:left w:val="single" w:color="000000" w:sz="4" w:space="0"/>
              <w:bottom w:val="single" w:color="000000" w:sz="4" w:space="0"/>
              <w:right w:val="single" w:color="000000" w:sz="4" w:space="0"/>
            </w:tcBorders>
            <w:noWrap/>
            <w:vAlign w:val="center"/>
          </w:tcPr>
          <w:p w14:paraId="3D6BFE3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5DA27C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FF911C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4A103982">
        <w:tblPrEx>
          <w:tblCellMar>
            <w:top w:w="0" w:type="dxa"/>
            <w:left w:w="108" w:type="dxa"/>
            <w:bottom w:w="0" w:type="dxa"/>
            <w:right w:w="108" w:type="dxa"/>
          </w:tblCellMar>
        </w:tblPrEx>
        <w:trPr>
          <w:trHeight w:val="121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0E4DB2D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542EBEC"/>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C190529"/>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0872106"/>
        </w:tc>
        <w:tc>
          <w:tcPr>
            <w:tcW w:w="1364" w:type="dxa"/>
            <w:tcBorders>
              <w:top w:val="single" w:color="000000" w:sz="4" w:space="0"/>
              <w:left w:val="single" w:color="000000" w:sz="4" w:space="0"/>
              <w:bottom w:val="single" w:color="000000" w:sz="4" w:space="0"/>
              <w:right w:val="single" w:color="000000" w:sz="4" w:space="0"/>
            </w:tcBorders>
            <w:noWrap/>
            <w:vAlign w:val="center"/>
          </w:tcPr>
          <w:p w14:paraId="15BBC67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C1AB13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F82390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《中华人民共和国劳动合同法》第七十三条、第七十四条；《中华人民共和国社会保险法》第七十七条、第七十九条；《宁夏回族自治区劳动保障监察条例》第八条</w:t>
            </w:r>
          </w:p>
        </w:tc>
      </w:tr>
      <w:tr w14:paraId="6385CA2B">
        <w:tblPrEx>
          <w:tblCellMar>
            <w:top w:w="0" w:type="dxa"/>
            <w:left w:w="108" w:type="dxa"/>
            <w:bottom w:w="0" w:type="dxa"/>
            <w:right w:w="108" w:type="dxa"/>
          </w:tblCellMar>
        </w:tblPrEx>
        <w:trPr>
          <w:trHeight w:val="1134"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203BF3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97F5E3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261A718"/>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B41BCAA"/>
        </w:tc>
        <w:tc>
          <w:tcPr>
            <w:tcW w:w="1364" w:type="dxa"/>
            <w:tcBorders>
              <w:top w:val="single" w:color="000000" w:sz="4" w:space="0"/>
              <w:left w:val="single" w:color="000000" w:sz="4" w:space="0"/>
              <w:bottom w:val="single" w:color="000000" w:sz="4" w:space="0"/>
              <w:right w:val="single" w:color="000000" w:sz="4" w:space="0"/>
            </w:tcBorders>
            <w:noWrap/>
            <w:vAlign w:val="center"/>
          </w:tcPr>
          <w:p w14:paraId="342581D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5FE45C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对企业使用的特种设备进行监督检查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E86743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w:t>
            </w:r>
          </w:p>
        </w:tc>
      </w:tr>
      <w:tr w14:paraId="2C1D7CB8">
        <w:tblPrEx>
          <w:tblCellMar>
            <w:top w:w="0" w:type="dxa"/>
            <w:left w:w="108" w:type="dxa"/>
            <w:bottom w:w="0" w:type="dxa"/>
            <w:right w:w="108" w:type="dxa"/>
          </w:tblCellMar>
        </w:tblPrEx>
        <w:trPr>
          <w:trHeight w:val="1571"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6A8C076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8</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0EAE3E8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工贸</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44E28AA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生产经营服装、羊绒、纺织品、石料等市场主体</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0B395E4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5E6AB7F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733767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对执行有关安全生产的法律、法规和国家标准或者行业标准的情况的监督检查；对安全培训及特种作业人员持证上岗情况的检查；对安全生产事故应急预案制定情况和事故隐患排查治理情况的检查；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8BC07D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《中华人民共和国安全生产法》第六十五条；《生产经营单位安全培训规定》第二十六条；《安全生产事故隐患排查治理暂行规定》第二十条</w:t>
            </w:r>
          </w:p>
        </w:tc>
      </w:tr>
      <w:tr w14:paraId="3AEAFE35">
        <w:tblPrEx>
          <w:tblCellMar>
            <w:top w:w="0" w:type="dxa"/>
            <w:left w:w="108" w:type="dxa"/>
            <w:bottom w:w="0" w:type="dxa"/>
            <w:right w:w="108" w:type="dxa"/>
          </w:tblCellMar>
        </w:tblPrEx>
        <w:trPr>
          <w:trHeight w:val="87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275077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FBAD94A"/>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72300E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1FF6A79"/>
        </w:tc>
        <w:tc>
          <w:tcPr>
            <w:tcW w:w="1364" w:type="dxa"/>
            <w:tcBorders>
              <w:top w:val="single" w:color="000000" w:sz="4" w:space="0"/>
              <w:left w:val="single" w:color="000000" w:sz="4" w:space="0"/>
              <w:bottom w:val="single" w:color="000000" w:sz="4" w:space="0"/>
              <w:right w:val="single" w:color="000000" w:sz="4" w:space="0"/>
            </w:tcBorders>
            <w:noWrap/>
            <w:vAlign w:val="center"/>
          </w:tcPr>
          <w:p w14:paraId="74962AD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94F908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E60D3A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0686DDBF">
        <w:tblPrEx>
          <w:tblCellMar>
            <w:top w:w="0" w:type="dxa"/>
            <w:left w:w="108" w:type="dxa"/>
            <w:bottom w:w="0" w:type="dxa"/>
            <w:right w:w="108" w:type="dxa"/>
          </w:tblCellMar>
        </w:tblPrEx>
        <w:trPr>
          <w:trHeight w:val="103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7260086D"/>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11501A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9D952D6"/>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B61EE32"/>
        </w:tc>
        <w:tc>
          <w:tcPr>
            <w:tcW w:w="1364" w:type="dxa"/>
            <w:tcBorders>
              <w:top w:val="single" w:color="000000" w:sz="4" w:space="0"/>
              <w:left w:val="single" w:color="000000" w:sz="4" w:space="0"/>
              <w:bottom w:val="single" w:color="000000" w:sz="4" w:space="0"/>
              <w:right w:val="single" w:color="000000" w:sz="4" w:space="0"/>
            </w:tcBorders>
            <w:noWrap/>
            <w:vAlign w:val="center"/>
          </w:tcPr>
          <w:p w14:paraId="7E18E96C">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w:t>
            </w:r>
          </w:p>
          <w:p w14:paraId="15D60FE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17EA11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对三同时制度落实情况、污染防治措施运行情况的检查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B27A67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《建设项目环境保护管理条例》第十五条、第二十条；《建设项目环境影响后评价管理办法（试行）》第六条；《中华人民共和国环境污染法》第二十四条、第四十一条</w:t>
            </w:r>
          </w:p>
        </w:tc>
      </w:tr>
      <w:tr w14:paraId="4024455F">
        <w:tblPrEx>
          <w:tblCellMar>
            <w:top w:w="0" w:type="dxa"/>
            <w:left w:w="108" w:type="dxa"/>
            <w:bottom w:w="0" w:type="dxa"/>
            <w:right w:w="108" w:type="dxa"/>
          </w:tblCellMar>
        </w:tblPrEx>
        <w:trPr>
          <w:trHeight w:val="858"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C41486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0065E978"/>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EF1B67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160BA478"/>
        </w:tc>
        <w:tc>
          <w:tcPr>
            <w:tcW w:w="1364" w:type="dxa"/>
            <w:tcBorders>
              <w:top w:val="single" w:color="000000" w:sz="4" w:space="0"/>
              <w:left w:val="single" w:color="000000" w:sz="4" w:space="0"/>
              <w:bottom w:val="single" w:color="000000" w:sz="4" w:space="0"/>
              <w:right w:val="single" w:color="000000" w:sz="4" w:space="0"/>
            </w:tcBorders>
            <w:noWrap/>
            <w:vAlign w:val="center"/>
          </w:tcPr>
          <w:p w14:paraId="2F08F4E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3CEA80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检查水土保持方案落实情况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86C090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r w14:paraId="596731F1">
        <w:tblPrEx>
          <w:tblCellMar>
            <w:top w:w="0" w:type="dxa"/>
            <w:left w:w="108" w:type="dxa"/>
            <w:bottom w:w="0" w:type="dxa"/>
            <w:right w:w="108" w:type="dxa"/>
          </w:tblCellMar>
        </w:tblPrEx>
        <w:trPr>
          <w:trHeight w:val="71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2A1FC55"/>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DDDF63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ADB9F5E"/>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3DF737E"/>
        </w:tc>
        <w:tc>
          <w:tcPr>
            <w:tcW w:w="1364" w:type="dxa"/>
            <w:tcBorders>
              <w:top w:val="single" w:color="000000" w:sz="4" w:space="0"/>
              <w:left w:val="single" w:color="000000" w:sz="4" w:space="0"/>
              <w:bottom w:val="single" w:color="000000" w:sz="4" w:space="0"/>
              <w:right w:val="single" w:color="000000" w:sz="4" w:space="0"/>
            </w:tcBorders>
            <w:noWrap/>
            <w:vAlign w:val="center"/>
          </w:tcPr>
          <w:p w14:paraId="7C5EC9F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卫健局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904188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BB70E9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23B3A99B">
        <w:tblPrEx>
          <w:tblCellMar>
            <w:top w:w="0" w:type="dxa"/>
            <w:left w:w="108" w:type="dxa"/>
            <w:bottom w:w="0" w:type="dxa"/>
            <w:right w:w="108" w:type="dxa"/>
          </w:tblCellMar>
        </w:tblPrEx>
        <w:trPr>
          <w:trHeight w:val="91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72A44B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F674B4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245D2C8F"/>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7195FE9"/>
        </w:tc>
        <w:tc>
          <w:tcPr>
            <w:tcW w:w="1364" w:type="dxa"/>
            <w:tcBorders>
              <w:top w:val="single" w:color="000000" w:sz="4" w:space="0"/>
              <w:left w:val="single" w:color="000000" w:sz="4" w:space="0"/>
              <w:bottom w:val="single" w:color="000000" w:sz="4" w:space="0"/>
              <w:right w:val="single" w:color="000000" w:sz="4" w:space="0"/>
            </w:tcBorders>
            <w:noWrap/>
            <w:vAlign w:val="center"/>
          </w:tcPr>
          <w:p w14:paraId="3FD19A4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782B16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对企业超限超载情况进行检查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344EAF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《公路安全保护条例》第</w:t>
            </w:r>
            <w:r>
              <w:rPr>
                <w:rFonts w:hint="eastAsia" w:ascii="仿宋_GB2312" w:hAnsi="方正兰亭黑_GBK" w:eastAsia="仿宋_GB2312" w:cs="仿宋_GB2312"/>
                <w:color w:val="000000"/>
                <w:kern w:val="0"/>
                <w:sz w:val="22"/>
                <w:szCs w:val="22"/>
              </w:rPr>
              <w:t>三十三</w:t>
            </w:r>
            <w:r>
              <w:rPr>
                <w:rFonts w:ascii="仿宋_GB2312" w:hAnsi="方正兰亭黑_GBK" w:eastAsia="仿宋_GB2312" w:cs="仿宋_GB2312"/>
                <w:color w:val="000000"/>
                <w:kern w:val="0"/>
                <w:sz w:val="22"/>
                <w:szCs w:val="22"/>
              </w:rPr>
              <w:t>条</w:t>
            </w:r>
            <w:r>
              <w:rPr>
                <w:rFonts w:hint="eastAsia" w:ascii="仿宋_GB2312" w:hAnsi="方正兰亭黑_GBK" w:eastAsia="仿宋_GB2312" w:cs="仿宋_GB2312"/>
                <w:color w:val="000000"/>
                <w:kern w:val="0"/>
                <w:sz w:val="22"/>
                <w:szCs w:val="22"/>
              </w:rPr>
              <w:t>、第三十五条；</w:t>
            </w:r>
            <w:r>
              <w:rPr>
                <w:rFonts w:ascii="仿宋_GB2312" w:hAnsi="方正兰亭黑_GBK" w:eastAsia="仿宋_GB2312" w:cs="仿宋_GB2312"/>
                <w:color w:val="000000"/>
                <w:kern w:val="0"/>
                <w:sz w:val="22"/>
                <w:szCs w:val="22"/>
              </w:rPr>
              <w:t>《超限运输车辆行驶公路管理规定》</w:t>
            </w:r>
            <w:r>
              <w:rPr>
                <w:rFonts w:hint="eastAsia" w:ascii="仿宋_GB2312" w:hAnsi="方正兰亭黑_GBK" w:eastAsia="仿宋_GB2312" w:cs="仿宋_GB2312"/>
                <w:color w:val="000000"/>
                <w:kern w:val="0"/>
                <w:sz w:val="22"/>
                <w:szCs w:val="22"/>
              </w:rPr>
              <w:t>第三条，第二十条</w:t>
            </w:r>
          </w:p>
        </w:tc>
      </w:tr>
      <w:tr w14:paraId="487F079C">
        <w:tblPrEx>
          <w:tblCellMar>
            <w:top w:w="0" w:type="dxa"/>
            <w:left w:w="108" w:type="dxa"/>
            <w:bottom w:w="0" w:type="dxa"/>
            <w:right w:w="108" w:type="dxa"/>
          </w:tblCellMar>
        </w:tblPrEx>
        <w:trPr>
          <w:trHeight w:val="122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9C1F1C5"/>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751B2C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2E2DCF76"/>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392AC651"/>
        </w:tc>
        <w:tc>
          <w:tcPr>
            <w:tcW w:w="1364" w:type="dxa"/>
            <w:tcBorders>
              <w:top w:val="single" w:color="000000" w:sz="4" w:space="0"/>
              <w:left w:val="single" w:color="000000" w:sz="4" w:space="0"/>
              <w:bottom w:val="single" w:color="000000" w:sz="4" w:space="0"/>
              <w:right w:val="single" w:color="000000" w:sz="4" w:space="0"/>
            </w:tcBorders>
            <w:noWrap/>
            <w:vAlign w:val="center"/>
          </w:tcPr>
          <w:p w14:paraId="14CCA58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BC1AAB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00B342C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中华人民共和国社会保险法》第七十七条、第七十九条；《宁夏回族自治区劳动保障监察条例》第八条</w:t>
            </w:r>
          </w:p>
        </w:tc>
      </w:tr>
      <w:tr w14:paraId="5D29B6C9">
        <w:tblPrEx>
          <w:tblCellMar>
            <w:top w:w="0" w:type="dxa"/>
            <w:left w:w="108" w:type="dxa"/>
            <w:bottom w:w="0" w:type="dxa"/>
            <w:right w:w="108" w:type="dxa"/>
          </w:tblCellMar>
        </w:tblPrEx>
        <w:trPr>
          <w:trHeight w:val="969"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3651738"/>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96C8513"/>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CD1AB16"/>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1705E7C"/>
        </w:tc>
        <w:tc>
          <w:tcPr>
            <w:tcW w:w="1364" w:type="dxa"/>
            <w:tcBorders>
              <w:top w:val="single" w:color="000000" w:sz="4" w:space="0"/>
              <w:left w:val="single" w:color="000000" w:sz="4" w:space="0"/>
              <w:bottom w:val="single" w:color="000000" w:sz="4" w:space="0"/>
              <w:right w:val="single" w:color="000000" w:sz="4" w:space="0"/>
            </w:tcBorders>
            <w:noWrap/>
            <w:vAlign w:val="center"/>
          </w:tcPr>
          <w:p w14:paraId="53B528A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B26B60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对企业使用的特种设备进行监督检查，对企业食堂食品安全进行监督检查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6E565A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《中华人民共和国特种设备安全法》第五十七条、《特种设备安全监察条例》第五十条、《中华人民共和国食品安全法》第一百一十条</w:t>
            </w:r>
          </w:p>
        </w:tc>
      </w:tr>
      <w:tr w14:paraId="7A4F782B">
        <w:tblPrEx>
          <w:tblCellMar>
            <w:top w:w="0" w:type="dxa"/>
            <w:left w:w="108" w:type="dxa"/>
            <w:bottom w:w="0" w:type="dxa"/>
            <w:right w:w="108" w:type="dxa"/>
          </w:tblCellMar>
        </w:tblPrEx>
        <w:trPr>
          <w:trHeight w:val="972"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34BF8921">
            <w:pPr>
              <w:widowControl/>
              <w:spacing w:line="240" w:lineRule="exact"/>
              <w:jc w:val="center"/>
              <w:textAlignment w:val="center"/>
              <w:rPr>
                <w:rFonts w:hint="eastAsia" w:ascii="仿宋_GB2312" w:hAnsi="方正兰亭黑_GBK" w:eastAsia="仿宋_GB2312" w:cs="仿宋_GB2312"/>
                <w:color w:val="000000"/>
                <w:sz w:val="22"/>
                <w:szCs w:val="22"/>
              </w:rPr>
            </w:pPr>
            <w:r>
              <w:rPr>
                <w:rFonts w:hint="eastAsia" w:ascii="仿宋_GB2312" w:hAnsi="方正兰亭黑_GBK" w:eastAsia="仿宋_GB2312" w:cs="仿宋_GB2312"/>
                <w:color w:val="000000"/>
                <w:sz w:val="22"/>
                <w:szCs w:val="22"/>
              </w:rPr>
              <w:t>9</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096452E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燃气</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4923C66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燃气经营、充装、运输配送企业，餐饮经营单位，瓶装液化石油气充装单位</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6E13B90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住建局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463F880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住建局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DA21CE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 xml:space="preserve"> 对燃气经营许可证核发及事中事后情况进行检查。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DD5117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《宁夏回族自治区燃气管理条例》第四十一条、第四十六条</w:t>
            </w:r>
          </w:p>
        </w:tc>
      </w:tr>
      <w:tr w14:paraId="5D04E591">
        <w:tblPrEx>
          <w:tblCellMar>
            <w:top w:w="0" w:type="dxa"/>
            <w:left w:w="108" w:type="dxa"/>
            <w:bottom w:w="0" w:type="dxa"/>
            <w:right w:w="108" w:type="dxa"/>
          </w:tblCellMar>
        </w:tblPrEx>
        <w:trPr>
          <w:trHeight w:val="1774"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12AAE56"/>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150CFB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58E0EE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BCF9E50"/>
        </w:tc>
        <w:tc>
          <w:tcPr>
            <w:tcW w:w="1364" w:type="dxa"/>
            <w:tcBorders>
              <w:top w:val="single" w:color="000000" w:sz="4" w:space="0"/>
              <w:left w:val="single" w:color="000000" w:sz="4" w:space="0"/>
              <w:bottom w:val="single" w:color="000000" w:sz="4" w:space="0"/>
              <w:right w:val="single" w:color="000000" w:sz="4" w:space="0"/>
            </w:tcBorders>
            <w:noWrap/>
            <w:vAlign w:val="center"/>
          </w:tcPr>
          <w:p w14:paraId="20EC4E7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工信商务局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4D6C02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负责督促餐饮行业规范安装和使用可燃气体报警装置、切断装置和连接管，建立健全燃气安全生产管理制度和从业人员教育培训制度，开展燃气使用安全自查工作，落实安全防范措施，消除安全隐患</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11AF23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《宁夏回族自治区燃气管理条例》第四十七条</w:t>
            </w:r>
          </w:p>
        </w:tc>
      </w:tr>
      <w:tr w14:paraId="311AFFA5">
        <w:tblPrEx>
          <w:tblCellMar>
            <w:top w:w="0" w:type="dxa"/>
            <w:left w:w="108" w:type="dxa"/>
            <w:bottom w:w="0" w:type="dxa"/>
            <w:right w:w="108" w:type="dxa"/>
          </w:tblCellMar>
        </w:tblPrEx>
        <w:trPr>
          <w:trHeight w:val="102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5E6745C"/>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F52AA34"/>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021177F"/>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1331C59A"/>
        </w:tc>
        <w:tc>
          <w:tcPr>
            <w:tcW w:w="1364" w:type="dxa"/>
            <w:tcBorders>
              <w:top w:val="single" w:color="000000" w:sz="4" w:space="0"/>
              <w:left w:val="single" w:color="000000" w:sz="4" w:space="0"/>
              <w:bottom w:val="single" w:color="000000" w:sz="4" w:space="0"/>
              <w:right w:val="single" w:color="000000" w:sz="4" w:space="0"/>
            </w:tcBorders>
            <w:noWrap/>
            <w:vAlign w:val="center"/>
          </w:tcPr>
          <w:p w14:paraId="06A63EC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E44792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对移动式压力容器、气瓶充装行为和餐饮企业使用的特种设备进行监督检查</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B3C75C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w:t>
            </w:r>
          </w:p>
        </w:tc>
      </w:tr>
      <w:tr w14:paraId="0CD8646C">
        <w:tblPrEx>
          <w:tblCellMar>
            <w:top w:w="0" w:type="dxa"/>
            <w:left w:w="108" w:type="dxa"/>
            <w:bottom w:w="0" w:type="dxa"/>
            <w:right w:w="108" w:type="dxa"/>
          </w:tblCellMar>
        </w:tblPrEx>
        <w:trPr>
          <w:trHeight w:val="106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73570D4D"/>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C1CC7AD"/>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3E5BB382"/>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04BE17C"/>
        </w:tc>
        <w:tc>
          <w:tcPr>
            <w:tcW w:w="1364" w:type="dxa"/>
            <w:tcBorders>
              <w:top w:val="single" w:color="000000" w:sz="4" w:space="0"/>
              <w:left w:val="single" w:color="000000" w:sz="4" w:space="0"/>
              <w:bottom w:val="single" w:color="000000" w:sz="4" w:space="0"/>
              <w:right w:val="single" w:color="000000" w:sz="4" w:space="0"/>
            </w:tcBorders>
            <w:noWrap/>
            <w:vAlign w:val="center"/>
          </w:tcPr>
          <w:p w14:paraId="3C05BA0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496D423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对燃气运输车辆进行监督检查</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5582FFC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《危险货物道路运输安全管理办法》</w:t>
            </w:r>
            <w:r>
              <w:rPr>
                <w:rFonts w:hint="eastAsia" w:ascii="仿宋_GB2312" w:hAnsi="方正兰亭黑_GBK" w:eastAsia="仿宋_GB2312" w:cs="仿宋_GB2312"/>
                <w:color w:val="000000"/>
                <w:kern w:val="0"/>
                <w:sz w:val="22"/>
                <w:szCs w:val="22"/>
              </w:rPr>
              <w:t>第六条、第二十二条、第三十四条；</w:t>
            </w:r>
            <w:r>
              <w:rPr>
                <w:rFonts w:ascii="仿宋_GB2312" w:hAnsi="方正兰亭黑_GBK" w:eastAsia="仿宋_GB2312" w:cs="仿宋_GB2312"/>
                <w:color w:val="000000"/>
                <w:kern w:val="0"/>
                <w:sz w:val="22"/>
                <w:szCs w:val="22"/>
              </w:rPr>
              <w:t>《道路危险货物运输管理规定》</w:t>
            </w:r>
            <w:r>
              <w:rPr>
                <w:rFonts w:hint="eastAsia" w:ascii="仿宋_GB2312" w:hAnsi="方正兰亭黑_GBK" w:eastAsia="仿宋_GB2312" w:cs="仿宋_GB2312"/>
                <w:color w:val="000000"/>
                <w:kern w:val="0"/>
                <w:sz w:val="22"/>
                <w:szCs w:val="22"/>
              </w:rPr>
              <w:t>第二条、第二十条、第二十二条、第二十三条</w:t>
            </w:r>
          </w:p>
        </w:tc>
      </w:tr>
      <w:tr w14:paraId="78797DE6">
        <w:tblPrEx>
          <w:tblCellMar>
            <w:top w:w="0" w:type="dxa"/>
            <w:left w:w="108" w:type="dxa"/>
            <w:bottom w:w="0" w:type="dxa"/>
            <w:right w:w="108" w:type="dxa"/>
          </w:tblCellMar>
        </w:tblPrEx>
        <w:trPr>
          <w:trHeight w:val="971"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224355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C97EAB1"/>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34130502"/>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A62766D"/>
        </w:tc>
        <w:tc>
          <w:tcPr>
            <w:tcW w:w="1364" w:type="dxa"/>
            <w:tcBorders>
              <w:top w:val="single" w:color="000000" w:sz="4" w:space="0"/>
              <w:left w:val="single" w:color="000000" w:sz="4" w:space="0"/>
              <w:bottom w:val="single" w:color="000000" w:sz="4" w:space="0"/>
              <w:right w:val="single" w:color="000000" w:sz="4" w:space="0"/>
            </w:tcBorders>
            <w:noWrap/>
            <w:vAlign w:val="center"/>
          </w:tcPr>
          <w:p w14:paraId="1B5A816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卫健局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0798A2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49D826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44657240">
        <w:tblPrEx>
          <w:tblCellMar>
            <w:top w:w="0" w:type="dxa"/>
            <w:left w:w="108" w:type="dxa"/>
            <w:bottom w:w="0" w:type="dxa"/>
            <w:right w:w="108" w:type="dxa"/>
          </w:tblCellMar>
        </w:tblPrEx>
        <w:trPr>
          <w:trHeight w:val="111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CDA99D9"/>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70400A2C"/>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FBF2710"/>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6C3494F"/>
        </w:tc>
        <w:tc>
          <w:tcPr>
            <w:tcW w:w="1364" w:type="dxa"/>
            <w:tcBorders>
              <w:top w:val="single" w:color="000000" w:sz="4" w:space="0"/>
              <w:left w:val="single" w:color="000000" w:sz="4" w:space="0"/>
              <w:bottom w:val="single" w:color="000000" w:sz="4" w:space="0"/>
              <w:right w:val="single" w:color="000000" w:sz="4" w:space="0"/>
            </w:tcBorders>
            <w:noWrap/>
            <w:vAlign w:val="center"/>
          </w:tcPr>
          <w:p w14:paraId="228C75A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7F2919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负责依法查处燃气安全相关治安管理违法行为；负责日常消防监督检查、开展消防宣传教育，具体职责按照国务院公安部门规定执行</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78C19A4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《宁夏回族自治区燃气管理条例》第四十七条</w:t>
            </w:r>
          </w:p>
        </w:tc>
      </w:tr>
      <w:tr w14:paraId="1DA9025A">
        <w:tblPrEx>
          <w:tblCellMar>
            <w:top w:w="0" w:type="dxa"/>
            <w:left w:w="108" w:type="dxa"/>
            <w:bottom w:w="0" w:type="dxa"/>
            <w:right w:w="108" w:type="dxa"/>
          </w:tblCellMar>
        </w:tblPrEx>
        <w:trPr>
          <w:trHeight w:val="121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7F47FC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2BB726B"/>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2412D85"/>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420F766"/>
        </w:tc>
        <w:tc>
          <w:tcPr>
            <w:tcW w:w="1364" w:type="dxa"/>
            <w:tcBorders>
              <w:top w:val="single" w:color="000000" w:sz="4" w:space="0"/>
              <w:left w:val="single" w:color="000000" w:sz="4" w:space="0"/>
              <w:bottom w:val="single" w:color="000000" w:sz="4" w:space="0"/>
              <w:right w:val="single" w:color="000000" w:sz="4" w:space="0"/>
            </w:tcBorders>
            <w:noWrap/>
            <w:vAlign w:val="center"/>
          </w:tcPr>
          <w:p w14:paraId="66F0CFC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DFED5B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C4D4A4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479A9335">
        <w:tblPrEx>
          <w:tblCellMar>
            <w:top w:w="0" w:type="dxa"/>
            <w:left w:w="108" w:type="dxa"/>
            <w:bottom w:w="0" w:type="dxa"/>
            <w:right w:w="108" w:type="dxa"/>
          </w:tblCellMar>
        </w:tblPrEx>
        <w:trPr>
          <w:trHeight w:val="1460"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1B9A190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1</w:t>
            </w:r>
            <w:r>
              <w:rPr>
                <w:rFonts w:hint="eastAsia" w:ascii="仿宋_GB2312" w:hAnsi="方正兰亭黑_GBK" w:eastAsia="仿宋_GB2312" w:cs="仿宋_GB2312"/>
                <w:color w:val="000000"/>
                <w:kern w:val="0"/>
                <w:sz w:val="22"/>
                <w:szCs w:val="22"/>
              </w:rPr>
              <w:t>0</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12FCEDD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新能源</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5AAE2F3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风力发电、光伏发电、太阳能发电等企业</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6471C81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27EEBE2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168C494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对安全生产、安全隐患等情况进行监督指导</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C9CD2B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《中华人民共和国安全生产法》《中华人民共和国可再生能源法》</w:t>
            </w:r>
          </w:p>
        </w:tc>
      </w:tr>
      <w:tr w14:paraId="2FA12FF8">
        <w:tblPrEx>
          <w:tblCellMar>
            <w:top w:w="0" w:type="dxa"/>
            <w:left w:w="108" w:type="dxa"/>
            <w:bottom w:w="0" w:type="dxa"/>
            <w:right w:w="108" w:type="dxa"/>
          </w:tblCellMar>
        </w:tblPrEx>
        <w:trPr>
          <w:trHeight w:val="125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09DD04D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1B419E0"/>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2CACF53"/>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71920A2"/>
        </w:tc>
        <w:tc>
          <w:tcPr>
            <w:tcW w:w="1364" w:type="dxa"/>
            <w:tcBorders>
              <w:top w:val="single" w:color="000000" w:sz="4" w:space="0"/>
              <w:left w:val="single" w:color="000000" w:sz="4" w:space="0"/>
              <w:bottom w:val="single" w:color="000000" w:sz="4" w:space="0"/>
              <w:right w:val="single" w:color="000000" w:sz="4" w:space="0"/>
            </w:tcBorders>
            <w:noWrap/>
            <w:vAlign w:val="center"/>
          </w:tcPr>
          <w:p w14:paraId="683155C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林草</w:t>
            </w:r>
            <w:r>
              <w:rPr>
                <w:rFonts w:hint="eastAsia" w:ascii="仿宋_GB2312" w:hAnsi="方正兰亭黑_GBK" w:eastAsia="仿宋_GB2312" w:cs="仿宋_GB2312"/>
                <w:color w:val="000000"/>
                <w:kern w:val="0"/>
                <w:sz w:val="22"/>
                <w:szCs w:val="22"/>
              </w:rPr>
              <w:t>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431A9A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检查占用林地、草原及林地草原复绿情况</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E5E907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《中华人民共和国草原法》第三十八条、第三十九条、第四十条、第六十八条，《中华人民共和国森林法》第三十七条、第三十八条、第三十九条、第七十三条、第七十四条</w:t>
            </w:r>
          </w:p>
        </w:tc>
      </w:tr>
      <w:tr w14:paraId="014A2185">
        <w:tblPrEx>
          <w:tblCellMar>
            <w:top w:w="0" w:type="dxa"/>
            <w:left w:w="108" w:type="dxa"/>
            <w:bottom w:w="0" w:type="dxa"/>
            <w:right w:w="108" w:type="dxa"/>
          </w:tblCellMar>
        </w:tblPrEx>
        <w:trPr>
          <w:trHeight w:val="116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9B9DAE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1C04CC1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AC049B6"/>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CEFED57"/>
        </w:tc>
        <w:tc>
          <w:tcPr>
            <w:tcW w:w="1364" w:type="dxa"/>
            <w:tcBorders>
              <w:top w:val="single" w:color="000000" w:sz="4" w:space="0"/>
              <w:left w:val="single" w:color="000000" w:sz="4" w:space="0"/>
              <w:bottom w:val="single" w:color="000000" w:sz="4" w:space="0"/>
              <w:right w:val="single" w:color="000000" w:sz="4" w:space="0"/>
            </w:tcBorders>
            <w:noWrap/>
            <w:vAlign w:val="center"/>
          </w:tcPr>
          <w:p w14:paraId="0401568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消防大队</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4EF93A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A5803D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35A6EFAE">
        <w:tblPrEx>
          <w:tblCellMar>
            <w:top w:w="0" w:type="dxa"/>
            <w:left w:w="108" w:type="dxa"/>
            <w:bottom w:w="0" w:type="dxa"/>
            <w:right w:w="108" w:type="dxa"/>
          </w:tblCellMar>
        </w:tblPrEx>
        <w:trPr>
          <w:trHeight w:val="121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E0B3F80"/>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9124D45"/>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AB80231"/>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F79E61F"/>
        </w:tc>
        <w:tc>
          <w:tcPr>
            <w:tcW w:w="1364" w:type="dxa"/>
            <w:tcBorders>
              <w:top w:val="single" w:color="000000" w:sz="4" w:space="0"/>
              <w:left w:val="single" w:color="000000" w:sz="4" w:space="0"/>
              <w:bottom w:val="single" w:color="000000" w:sz="4" w:space="0"/>
              <w:right w:val="single" w:color="000000" w:sz="4" w:space="0"/>
            </w:tcBorders>
            <w:noWrap/>
            <w:vAlign w:val="center"/>
          </w:tcPr>
          <w:p w14:paraId="67C24DA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E9C160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对生产建设项目水土保持方案落实情况</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3FEB53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r w14:paraId="53DDE2D3">
        <w:tblPrEx>
          <w:tblCellMar>
            <w:top w:w="0" w:type="dxa"/>
            <w:left w:w="108" w:type="dxa"/>
            <w:bottom w:w="0" w:type="dxa"/>
            <w:right w:w="108" w:type="dxa"/>
          </w:tblCellMar>
        </w:tblPrEx>
        <w:trPr>
          <w:trHeight w:val="1160"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573A01E2"/>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26F8979"/>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445E36F"/>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8353E06"/>
        </w:tc>
        <w:tc>
          <w:tcPr>
            <w:tcW w:w="1364" w:type="dxa"/>
            <w:tcBorders>
              <w:top w:val="single" w:color="000000" w:sz="4" w:space="0"/>
              <w:left w:val="single" w:color="000000" w:sz="4" w:space="0"/>
              <w:bottom w:val="single" w:color="000000" w:sz="4" w:space="0"/>
              <w:right w:val="single" w:color="000000" w:sz="4" w:space="0"/>
            </w:tcBorders>
            <w:noWrap/>
            <w:vAlign w:val="center"/>
          </w:tcPr>
          <w:p w14:paraId="444E65D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自然资源局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11E9BD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对本行政区域内的</w:t>
            </w:r>
            <w:r>
              <w:rPr>
                <w:rFonts w:ascii="Times New Roman" w:hAnsi="Times New Roman" w:eastAsia="仿宋_GB2312"/>
                <w:color w:val="000000"/>
                <w:kern w:val="0"/>
                <w:sz w:val="22"/>
                <w:szCs w:val="22"/>
              </w:rPr>
              <w:t>“一书三证”</w:t>
            </w:r>
            <w:r>
              <w:rPr>
                <w:rFonts w:ascii="仿宋_GB2312" w:hAnsi="方正兰亭黑_GBK" w:eastAsia="仿宋_GB2312" w:cs="仿宋_GB2312"/>
                <w:color w:val="000000"/>
                <w:kern w:val="0"/>
                <w:sz w:val="22"/>
                <w:szCs w:val="22"/>
              </w:rPr>
              <w:t>核发情况进行行政检查</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402E49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《中华人民共和国城乡规划法》第五十三条。</w:t>
            </w:r>
          </w:p>
        </w:tc>
      </w:tr>
      <w:tr w14:paraId="1ACD43B5">
        <w:tblPrEx>
          <w:tblCellMar>
            <w:top w:w="0" w:type="dxa"/>
            <w:left w:w="108" w:type="dxa"/>
            <w:bottom w:w="0" w:type="dxa"/>
            <w:right w:w="108" w:type="dxa"/>
          </w:tblCellMar>
        </w:tblPrEx>
        <w:trPr>
          <w:trHeight w:val="1227"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030742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01CA9AA"/>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1ED2F36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0514584"/>
        </w:tc>
        <w:tc>
          <w:tcPr>
            <w:tcW w:w="1364" w:type="dxa"/>
            <w:tcBorders>
              <w:top w:val="single" w:color="000000" w:sz="4" w:space="0"/>
              <w:left w:val="single" w:color="000000" w:sz="4" w:space="0"/>
              <w:bottom w:val="single" w:color="000000" w:sz="4" w:space="0"/>
              <w:right w:val="single" w:color="000000" w:sz="4" w:space="0"/>
            </w:tcBorders>
            <w:noWrap/>
            <w:vAlign w:val="center"/>
          </w:tcPr>
          <w:p w14:paraId="13FE404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09B0B07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对项目施工过程中农民工工资支付情况进行检查</w:t>
            </w:r>
            <w:r>
              <w:rPr>
                <w:rFonts w:hint="eastAsia" w:ascii="仿宋_GB2312" w:hAnsi="方正兰亭黑_GBK" w:eastAsia="仿宋_GB2312" w:cs="仿宋_GB2312"/>
                <w:color w:val="000000"/>
                <w:kern w:val="0"/>
                <w:sz w:val="22"/>
                <w:szCs w:val="22"/>
              </w:rPr>
              <w:t>。</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120E69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《中华人民共和国劳动法》第八十五条、八十六条；《中华人民共和国劳动合同法》第七十三条、第七十四条；《保障农民工工资支付条例》第三十九条；《宁夏回族自治区劳动保障监察条例》第八条</w:t>
            </w:r>
          </w:p>
        </w:tc>
      </w:tr>
      <w:tr w14:paraId="462D7BD6">
        <w:tblPrEx>
          <w:tblCellMar>
            <w:top w:w="0" w:type="dxa"/>
            <w:left w:w="108" w:type="dxa"/>
            <w:bottom w:w="0" w:type="dxa"/>
            <w:right w:w="108" w:type="dxa"/>
          </w:tblCellMar>
        </w:tblPrEx>
        <w:trPr>
          <w:trHeight w:val="922" w:hRule="atLeast"/>
        </w:trPr>
        <w:tc>
          <w:tcPr>
            <w:tcW w:w="545" w:type="dxa"/>
            <w:vMerge w:val="restart"/>
            <w:tcBorders>
              <w:top w:val="single" w:color="000000" w:sz="4" w:space="0"/>
              <w:left w:val="single" w:color="000000" w:sz="4" w:space="0"/>
              <w:bottom w:val="single" w:color="000000" w:sz="4" w:space="0"/>
              <w:right w:val="single" w:color="000000" w:sz="4" w:space="0"/>
            </w:tcBorders>
            <w:noWrap/>
            <w:vAlign w:val="center"/>
          </w:tcPr>
          <w:p w14:paraId="6E6439B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1</w:t>
            </w:r>
            <w:r>
              <w:rPr>
                <w:rFonts w:hint="eastAsia" w:ascii="仿宋_GB2312" w:hAnsi="方正兰亭黑_GBK" w:eastAsia="仿宋_GB2312" w:cs="仿宋_GB2312"/>
                <w:color w:val="000000"/>
                <w:kern w:val="0"/>
                <w:sz w:val="22"/>
                <w:szCs w:val="22"/>
              </w:rPr>
              <w:t>1</w:t>
            </w:r>
          </w:p>
        </w:tc>
        <w:tc>
          <w:tcPr>
            <w:tcW w:w="885" w:type="dxa"/>
            <w:vMerge w:val="restart"/>
            <w:tcBorders>
              <w:top w:val="single" w:color="000000" w:sz="4" w:space="0"/>
              <w:left w:val="single" w:color="000000" w:sz="4" w:space="0"/>
              <w:bottom w:val="single" w:color="000000" w:sz="4" w:space="0"/>
              <w:right w:val="single" w:color="000000" w:sz="4" w:space="0"/>
            </w:tcBorders>
            <w:noWrap/>
            <w:vAlign w:val="center"/>
          </w:tcPr>
          <w:p w14:paraId="446B983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矿山</w:t>
            </w:r>
          </w:p>
        </w:tc>
        <w:tc>
          <w:tcPr>
            <w:tcW w:w="862" w:type="dxa"/>
            <w:vMerge w:val="restart"/>
            <w:tcBorders>
              <w:top w:val="single" w:color="000000" w:sz="4" w:space="0"/>
              <w:left w:val="single" w:color="000000" w:sz="4" w:space="0"/>
              <w:bottom w:val="single" w:color="000000" w:sz="4" w:space="0"/>
              <w:right w:val="single" w:color="000000" w:sz="4" w:space="0"/>
            </w:tcBorders>
            <w:noWrap/>
            <w:vAlign w:val="center"/>
          </w:tcPr>
          <w:p w14:paraId="06E0669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煤炭、煤矿开采</w:t>
            </w:r>
          </w:p>
        </w:tc>
        <w:tc>
          <w:tcPr>
            <w:tcW w:w="585" w:type="dxa"/>
            <w:vMerge w:val="restart"/>
            <w:tcBorders>
              <w:top w:val="single" w:color="000000" w:sz="4" w:space="0"/>
              <w:left w:val="single" w:color="000000" w:sz="4" w:space="0"/>
              <w:bottom w:val="single" w:color="000000" w:sz="4" w:space="0"/>
              <w:right w:val="single" w:color="000000" w:sz="4" w:space="0"/>
            </w:tcBorders>
            <w:noWrap/>
            <w:vAlign w:val="center"/>
          </w:tcPr>
          <w:p w14:paraId="22ED0A9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6B4AC85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1AF2E7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检查从业人员安全教育培训情况；检查安全生产事故应急预案制定情况和事故隐患排查治理情况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707710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《中华人民共和国安全生产法》第二十八条、 第三十五条、第三十六条、第六十五条；《生产经营单位安全培训规定》第二十六条；《安全生产事故隐患排查治理暂行规定》第二十条</w:t>
            </w:r>
          </w:p>
        </w:tc>
      </w:tr>
      <w:tr w14:paraId="47BE5717">
        <w:tblPrEx>
          <w:tblCellMar>
            <w:top w:w="0" w:type="dxa"/>
            <w:left w:w="108" w:type="dxa"/>
            <w:bottom w:w="0" w:type="dxa"/>
            <w:right w:w="108" w:type="dxa"/>
          </w:tblCellMar>
        </w:tblPrEx>
        <w:trPr>
          <w:trHeight w:val="73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4C1A4207"/>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FE9815D"/>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5134229"/>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1C2DB96"/>
        </w:tc>
        <w:tc>
          <w:tcPr>
            <w:tcW w:w="1364" w:type="dxa"/>
            <w:tcBorders>
              <w:top w:val="single" w:color="000000" w:sz="4" w:space="0"/>
              <w:left w:val="single" w:color="000000" w:sz="4" w:space="0"/>
              <w:bottom w:val="single" w:color="000000" w:sz="4" w:space="0"/>
              <w:right w:val="single" w:color="000000" w:sz="4" w:space="0"/>
            </w:tcBorders>
            <w:noWrap/>
            <w:vAlign w:val="center"/>
          </w:tcPr>
          <w:p w14:paraId="5C9278C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自然资源局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09200A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对开采资质、采矿许可范围和矿区生态修复等情况进行检查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382225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《中华人民共和国矿产资源法》第十一条、第五十六条；《中华人民共和国矿产资源法实施细则》第八条</w:t>
            </w:r>
          </w:p>
        </w:tc>
      </w:tr>
      <w:tr w14:paraId="4C29E409">
        <w:tblPrEx>
          <w:tblCellMar>
            <w:top w:w="0" w:type="dxa"/>
            <w:left w:w="108" w:type="dxa"/>
            <w:bottom w:w="0" w:type="dxa"/>
            <w:right w:w="108" w:type="dxa"/>
          </w:tblCellMar>
        </w:tblPrEx>
        <w:trPr>
          <w:trHeight w:val="778"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2AA015EF"/>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F2AB29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A83857F"/>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08AAB481"/>
        </w:tc>
        <w:tc>
          <w:tcPr>
            <w:tcW w:w="1364" w:type="dxa"/>
            <w:tcBorders>
              <w:top w:val="single" w:color="000000" w:sz="4" w:space="0"/>
              <w:left w:val="single" w:color="000000" w:sz="4" w:space="0"/>
              <w:bottom w:val="single" w:color="000000" w:sz="4" w:space="0"/>
              <w:right w:val="single" w:color="000000" w:sz="4" w:space="0"/>
            </w:tcBorders>
            <w:noWrap/>
            <w:vAlign w:val="center"/>
          </w:tcPr>
          <w:p w14:paraId="06738835">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w:t>
            </w:r>
          </w:p>
          <w:p w14:paraId="71C5745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分局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88E2C7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对三同时制度落实情况、污染防治措施运行情况的检查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1F02580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《建设项目环境保护管理条例》第十五条、第二十条；《建设项目环境影响后评价管理办法（试行）》第六条；《中华人民共和国环境污染法》第二十四条、第四十一条</w:t>
            </w:r>
          </w:p>
        </w:tc>
      </w:tr>
      <w:tr w14:paraId="1FBDB6A2">
        <w:tblPrEx>
          <w:tblCellMar>
            <w:top w:w="0" w:type="dxa"/>
            <w:left w:w="108" w:type="dxa"/>
            <w:bottom w:w="0" w:type="dxa"/>
            <w:right w:w="108" w:type="dxa"/>
          </w:tblCellMar>
        </w:tblPrEx>
        <w:trPr>
          <w:trHeight w:val="84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3F2AE171"/>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08DDB5AF"/>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7C3C088"/>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B3B3969"/>
        </w:tc>
        <w:tc>
          <w:tcPr>
            <w:tcW w:w="1364" w:type="dxa"/>
            <w:tcBorders>
              <w:top w:val="single" w:color="000000" w:sz="4" w:space="0"/>
              <w:left w:val="single" w:color="000000" w:sz="4" w:space="0"/>
              <w:bottom w:val="single" w:color="000000" w:sz="4" w:space="0"/>
              <w:right w:val="single" w:color="000000" w:sz="4" w:space="0"/>
            </w:tcBorders>
            <w:noWrap/>
            <w:vAlign w:val="center"/>
          </w:tcPr>
          <w:p w14:paraId="5488BCF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林草局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78E90ED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检查占用林地、草原及林地草原复绿情况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283705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《中华人民共和国草原法》第三十八条、第三十九条、第四十条、第六十八条，《中华人民共和国森林法》第三十七条、第三十八条、第三十九条、第七十三条、第七十四条</w:t>
            </w:r>
          </w:p>
        </w:tc>
      </w:tr>
      <w:tr w14:paraId="7768BD4C">
        <w:tblPrEx>
          <w:tblCellMar>
            <w:top w:w="0" w:type="dxa"/>
            <w:left w:w="108" w:type="dxa"/>
            <w:bottom w:w="0" w:type="dxa"/>
            <w:right w:w="108" w:type="dxa"/>
          </w:tblCellMar>
        </w:tblPrEx>
        <w:trPr>
          <w:trHeight w:val="923"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8D817E8"/>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5844BDEA"/>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608B1F09"/>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2F7D1976"/>
        </w:tc>
        <w:tc>
          <w:tcPr>
            <w:tcW w:w="1364" w:type="dxa"/>
            <w:tcBorders>
              <w:top w:val="single" w:color="000000" w:sz="4" w:space="0"/>
              <w:left w:val="single" w:color="000000" w:sz="4" w:space="0"/>
              <w:bottom w:val="single" w:color="000000" w:sz="4" w:space="0"/>
              <w:right w:val="single" w:color="000000" w:sz="4" w:space="0"/>
            </w:tcBorders>
            <w:noWrap/>
            <w:vAlign w:val="center"/>
          </w:tcPr>
          <w:p w14:paraId="2E672A5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462EBA9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对使用的地上特种设备进行监督检查；工业产品生产许可证管理情况;对企业员工食堂等食品安全进行监督检查；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42B5CE3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《中华人民共和国食品安全法》第一百一十条；《中华人民共和国特种设备安全法》第五十七条；《特种设备安全监察条例》第五十条；《中华人民共和国工业产品生产许可证管理条例》第四十五条</w:t>
            </w:r>
          </w:p>
        </w:tc>
      </w:tr>
      <w:tr w14:paraId="1F217199">
        <w:tblPrEx>
          <w:tblCellMar>
            <w:top w:w="0" w:type="dxa"/>
            <w:left w:w="108" w:type="dxa"/>
            <w:bottom w:w="0" w:type="dxa"/>
            <w:right w:w="108" w:type="dxa"/>
          </w:tblCellMar>
        </w:tblPrEx>
        <w:trPr>
          <w:trHeight w:val="612"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18876987"/>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24505884"/>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DA28BEE"/>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7D58A6A7"/>
        </w:tc>
        <w:tc>
          <w:tcPr>
            <w:tcW w:w="1364" w:type="dxa"/>
            <w:tcBorders>
              <w:top w:val="single" w:color="000000" w:sz="4" w:space="0"/>
              <w:left w:val="single" w:color="000000" w:sz="4" w:space="0"/>
              <w:bottom w:val="single" w:color="000000" w:sz="4" w:space="0"/>
              <w:right w:val="single" w:color="000000" w:sz="4" w:space="0"/>
            </w:tcBorders>
            <w:noWrap/>
            <w:vAlign w:val="center"/>
          </w:tcPr>
          <w:p w14:paraId="49B0154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D9D433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D66558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18CBBE0E">
        <w:tblPrEx>
          <w:tblCellMar>
            <w:top w:w="0" w:type="dxa"/>
            <w:left w:w="108" w:type="dxa"/>
            <w:bottom w:w="0" w:type="dxa"/>
            <w:right w:w="108" w:type="dxa"/>
          </w:tblCellMar>
        </w:tblPrEx>
        <w:trPr>
          <w:trHeight w:val="768"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315733B"/>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3596A31"/>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784C4968"/>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18A73B2E"/>
        </w:tc>
        <w:tc>
          <w:tcPr>
            <w:tcW w:w="1364" w:type="dxa"/>
            <w:tcBorders>
              <w:top w:val="single" w:color="000000" w:sz="4" w:space="0"/>
              <w:left w:val="single" w:color="000000" w:sz="4" w:space="0"/>
              <w:bottom w:val="single" w:color="000000" w:sz="4" w:space="0"/>
              <w:right w:val="single" w:color="000000" w:sz="4" w:space="0"/>
            </w:tcBorders>
            <w:noWrap/>
            <w:vAlign w:val="center"/>
          </w:tcPr>
          <w:p w14:paraId="07AC1E3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5E9C5FD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对企业超限超载情况进行检查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650C803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《中华人民共和国公路法》</w:t>
            </w:r>
            <w:r>
              <w:rPr>
                <w:rFonts w:hint="eastAsia" w:ascii="仿宋_GB2312" w:hAnsi="方正兰亭黑_GBK" w:eastAsia="仿宋_GB2312" w:cs="仿宋_GB2312"/>
                <w:color w:val="000000"/>
                <w:kern w:val="0"/>
                <w:sz w:val="22"/>
                <w:szCs w:val="22"/>
              </w:rPr>
              <w:t>第四十九条、第五十条；</w:t>
            </w:r>
            <w:r>
              <w:rPr>
                <w:rFonts w:ascii="仿宋_GB2312" w:hAnsi="方正兰亭黑_GBK" w:eastAsia="仿宋_GB2312" w:cs="仿宋_GB2312"/>
                <w:color w:val="000000"/>
                <w:kern w:val="0"/>
                <w:sz w:val="22"/>
                <w:szCs w:val="22"/>
              </w:rPr>
              <w:t>《公路安全保护条例》第</w:t>
            </w:r>
            <w:r>
              <w:rPr>
                <w:rFonts w:hint="eastAsia" w:ascii="仿宋_GB2312" w:hAnsi="方正兰亭黑_GBK" w:eastAsia="仿宋_GB2312" w:cs="仿宋_GB2312"/>
                <w:color w:val="000000"/>
                <w:kern w:val="0"/>
                <w:sz w:val="22"/>
                <w:szCs w:val="22"/>
              </w:rPr>
              <w:t>三十三</w:t>
            </w:r>
            <w:r>
              <w:rPr>
                <w:rFonts w:ascii="仿宋_GB2312" w:hAnsi="方正兰亭黑_GBK" w:eastAsia="仿宋_GB2312" w:cs="仿宋_GB2312"/>
                <w:color w:val="000000"/>
                <w:kern w:val="0"/>
                <w:sz w:val="22"/>
                <w:szCs w:val="22"/>
              </w:rPr>
              <w:t>条、《超限运输车辆行驶公路管理规定》第</w:t>
            </w:r>
            <w:r>
              <w:rPr>
                <w:rFonts w:hint="eastAsia" w:ascii="仿宋_GB2312" w:hAnsi="方正兰亭黑_GBK" w:eastAsia="仿宋_GB2312" w:cs="仿宋_GB2312"/>
                <w:color w:val="000000"/>
                <w:kern w:val="0"/>
                <w:sz w:val="22"/>
                <w:szCs w:val="22"/>
              </w:rPr>
              <w:t>三</w:t>
            </w:r>
            <w:r>
              <w:rPr>
                <w:rFonts w:ascii="仿宋_GB2312" w:hAnsi="方正兰亭黑_GBK" w:eastAsia="仿宋_GB2312" w:cs="仿宋_GB2312"/>
                <w:color w:val="000000"/>
                <w:kern w:val="0"/>
                <w:sz w:val="22"/>
                <w:szCs w:val="22"/>
              </w:rPr>
              <w:t>条</w:t>
            </w:r>
          </w:p>
        </w:tc>
      </w:tr>
      <w:tr w14:paraId="5C0DF2B4">
        <w:tblPrEx>
          <w:tblCellMar>
            <w:top w:w="0" w:type="dxa"/>
            <w:left w:w="108" w:type="dxa"/>
            <w:bottom w:w="0" w:type="dxa"/>
            <w:right w:w="108" w:type="dxa"/>
          </w:tblCellMar>
        </w:tblPrEx>
        <w:trPr>
          <w:trHeight w:val="716"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08B9A3FB"/>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44E2CB73"/>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5DD76E4A"/>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4AC8FD52"/>
        </w:tc>
        <w:tc>
          <w:tcPr>
            <w:tcW w:w="1364" w:type="dxa"/>
            <w:tcBorders>
              <w:top w:val="single" w:color="000000" w:sz="4" w:space="0"/>
              <w:left w:val="single" w:color="000000" w:sz="4" w:space="0"/>
              <w:bottom w:val="single" w:color="000000" w:sz="4" w:space="0"/>
              <w:right w:val="single" w:color="000000" w:sz="4" w:space="0"/>
            </w:tcBorders>
            <w:noWrap/>
            <w:vAlign w:val="center"/>
          </w:tcPr>
          <w:p w14:paraId="54285DC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386F89C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对民用爆炸物的许可、使用、储存等情况的监督检查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3FE8E2E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《中华人民共和国治安管理处罚法》第三十条、三十一条；《民用爆炸物品安全管理条例》</w:t>
            </w:r>
          </w:p>
        </w:tc>
      </w:tr>
      <w:tr w14:paraId="3FDDD3CF">
        <w:tblPrEx>
          <w:tblCellMar>
            <w:top w:w="0" w:type="dxa"/>
            <w:left w:w="108" w:type="dxa"/>
            <w:bottom w:w="0" w:type="dxa"/>
            <w:right w:w="108" w:type="dxa"/>
          </w:tblCellMar>
        </w:tblPrEx>
        <w:trPr>
          <w:trHeight w:val="1194"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63720D9A"/>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6AB74D17"/>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085846E4"/>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57DF5AD9"/>
        </w:tc>
        <w:tc>
          <w:tcPr>
            <w:tcW w:w="1364" w:type="dxa"/>
            <w:tcBorders>
              <w:top w:val="single" w:color="000000" w:sz="4" w:space="0"/>
              <w:left w:val="single" w:color="000000" w:sz="4" w:space="0"/>
              <w:bottom w:val="single" w:color="000000" w:sz="4" w:space="0"/>
              <w:right w:val="single" w:color="000000" w:sz="4" w:space="0"/>
            </w:tcBorders>
            <w:noWrap/>
            <w:vAlign w:val="center"/>
          </w:tcPr>
          <w:p w14:paraId="5B8FA5A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29C0B9E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BC888F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中华人民共和国社会保险法》第七十七条、第七十九条；《宁夏回族自治区劳动保障监察条例》第八条</w:t>
            </w:r>
          </w:p>
        </w:tc>
      </w:tr>
      <w:tr w14:paraId="03874724">
        <w:tblPrEx>
          <w:tblCellMar>
            <w:top w:w="0" w:type="dxa"/>
            <w:left w:w="108" w:type="dxa"/>
            <w:bottom w:w="0" w:type="dxa"/>
            <w:right w:w="108" w:type="dxa"/>
          </w:tblCellMar>
        </w:tblPrEx>
        <w:trPr>
          <w:trHeight w:val="639" w:hRule="atLeast"/>
        </w:trPr>
        <w:tc>
          <w:tcPr>
            <w:tcW w:w="545" w:type="dxa"/>
            <w:vMerge w:val="continue"/>
            <w:tcBorders>
              <w:top w:val="single" w:color="000000" w:sz="4" w:space="0"/>
              <w:left w:val="single" w:color="000000" w:sz="4" w:space="0"/>
              <w:bottom w:val="single" w:color="000000" w:sz="4" w:space="0"/>
              <w:right w:val="single" w:color="000000" w:sz="4" w:space="0"/>
            </w:tcBorders>
            <w:noWrap/>
            <w:vAlign w:val="center"/>
          </w:tcPr>
          <w:p w14:paraId="2C2E2E8C"/>
        </w:tc>
        <w:tc>
          <w:tcPr>
            <w:tcW w:w="885" w:type="dxa"/>
            <w:vMerge w:val="continue"/>
            <w:tcBorders>
              <w:top w:val="single" w:color="000000" w:sz="4" w:space="0"/>
              <w:left w:val="single" w:color="000000" w:sz="4" w:space="0"/>
              <w:bottom w:val="single" w:color="000000" w:sz="4" w:space="0"/>
              <w:right w:val="single" w:color="000000" w:sz="4" w:space="0"/>
            </w:tcBorders>
            <w:noWrap/>
            <w:vAlign w:val="center"/>
          </w:tcPr>
          <w:p w14:paraId="3726EAAB"/>
        </w:tc>
        <w:tc>
          <w:tcPr>
            <w:tcW w:w="862" w:type="dxa"/>
            <w:vMerge w:val="continue"/>
            <w:tcBorders>
              <w:top w:val="single" w:color="000000" w:sz="4" w:space="0"/>
              <w:left w:val="single" w:color="000000" w:sz="4" w:space="0"/>
              <w:bottom w:val="single" w:color="000000" w:sz="4" w:space="0"/>
              <w:right w:val="single" w:color="000000" w:sz="4" w:space="0"/>
            </w:tcBorders>
            <w:noWrap/>
            <w:vAlign w:val="center"/>
          </w:tcPr>
          <w:p w14:paraId="4233CFF7"/>
        </w:tc>
        <w:tc>
          <w:tcPr>
            <w:tcW w:w="585" w:type="dxa"/>
            <w:vMerge w:val="continue"/>
            <w:tcBorders>
              <w:top w:val="single" w:color="000000" w:sz="4" w:space="0"/>
              <w:left w:val="single" w:color="000000" w:sz="4" w:space="0"/>
              <w:bottom w:val="single" w:color="000000" w:sz="4" w:space="0"/>
              <w:right w:val="single" w:color="000000" w:sz="4" w:space="0"/>
            </w:tcBorders>
            <w:noWrap/>
            <w:vAlign w:val="center"/>
          </w:tcPr>
          <w:p w14:paraId="6A705373"/>
        </w:tc>
        <w:tc>
          <w:tcPr>
            <w:tcW w:w="1364" w:type="dxa"/>
            <w:tcBorders>
              <w:top w:val="single" w:color="000000" w:sz="4" w:space="0"/>
              <w:left w:val="single" w:color="000000" w:sz="4" w:space="0"/>
              <w:bottom w:val="single" w:color="000000" w:sz="4" w:space="0"/>
              <w:right w:val="single" w:color="000000" w:sz="4" w:space="0"/>
            </w:tcBorders>
            <w:noWrap/>
            <w:vAlign w:val="center"/>
          </w:tcPr>
          <w:p w14:paraId="7D2245A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水务局</w:t>
            </w:r>
          </w:p>
        </w:tc>
        <w:tc>
          <w:tcPr>
            <w:tcW w:w="4827" w:type="dxa"/>
            <w:tcBorders>
              <w:top w:val="single" w:color="000000" w:sz="4" w:space="0"/>
              <w:left w:val="single" w:color="000000" w:sz="4" w:space="0"/>
              <w:bottom w:val="single" w:color="000000" w:sz="4" w:space="0"/>
              <w:right w:val="single" w:color="000000" w:sz="4" w:space="0"/>
            </w:tcBorders>
            <w:noWrap/>
            <w:vAlign w:val="center"/>
          </w:tcPr>
          <w:p w14:paraId="69D4B3E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检查水土保持方案落实情况</w:t>
            </w:r>
          </w:p>
        </w:tc>
        <w:tc>
          <w:tcPr>
            <w:tcW w:w="6314" w:type="dxa"/>
            <w:tcBorders>
              <w:top w:val="single" w:color="000000" w:sz="4" w:space="0"/>
              <w:left w:val="single" w:color="000000" w:sz="4" w:space="0"/>
              <w:bottom w:val="single" w:color="000000" w:sz="4" w:space="0"/>
              <w:right w:val="single" w:color="000000" w:sz="4" w:space="0"/>
            </w:tcBorders>
            <w:noWrap/>
            <w:vAlign w:val="center"/>
          </w:tcPr>
          <w:p w14:paraId="24931E6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bl>
    <w:p w14:paraId="7BCE6C05">
      <w:pPr>
        <w:widowControl/>
        <w:jc w:val="center"/>
        <w:textAlignment w:val="center"/>
        <w:rPr>
          <w:rFonts w:ascii="方正小标宋简体" w:hAnsi="方正小标宋简体" w:eastAsia="方正小标宋简体" w:cs="方正小标宋简体"/>
          <w:b/>
          <w:bCs/>
          <w:color w:val="000000"/>
          <w:kern w:val="0"/>
          <w:sz w:val="44"/>
          <w:szCs w:val="44"/>
        </w:rPr>
      </w:pPr>
      <w:r>
        <w:rPr>
          <w:rFonts w:hint="eastAsia" w:ascii="方正小标宋简体" w:hAnsi="方正小标宋简体" w:eastAsia="方正小标宋简体" w:cs="方正小标宋简体"/>
          <w:b/>
          <w:bCs/>
          <w:color w:val="000000"/>
          <w:kern w:val="0"/>
          <w:sz w:val="44"/>
          <w:szCs w:val="44"/>
        </w:rPr>
        <w:t>同心县涉企行政执法联合检查事项清单</w:t>
      </w:r>
    </w:p>
    <w:tbl>
      <w:tblPr>
        <w:tblStyle w:val="20"/>
        <w:tblW w:w="15681" w:type="dxa"/>
        <w:tblInd w:w="-760" w:type="dxa"/>
        <w:tblLayout w:type="fixed"/>
        <w:tblCellMar>
          <w:top w:w="0" w:type="dxa"/>
          <w:left w:w="108" w:type="dxa"/>
          <w:bottom w:w="0" w:type="dxa"/>
          <w:right w:w="108" w:type="dxa"/>
        </w:tblCellMar>
      </w:tblPr>
      <w:tblGrid>
        <w:gridCol w:w="442"/>
        <w:gridCol w:w="1135"/>
        <w:gridCol w:w="3182"/>
        <w:gridCol w:w="477"/>
        <w:gridCol w:w="900"/>
        <w:gridCol w:w="3586"/>
        <w:gridCol w:w="5959"/>
      </w:tblGrid>
      <w:tr w14:paraId="42427FDE">
        <w:tblPrEx>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ign w:val="center"/>
          </w:tcPr>
          <w:p w14:paraId="472A4EDC">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序号</w:t>
            </w: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6CA7CC0E">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企业</w:t>
            </w:r>
            <w:r>
              <w:rPr>
                <w:rFonts w:ascii="仿宋" w:hAnsi="仿宋" w:eastAsia="仿宋" w:cs="仿宋"/>
                <w:b/>
                <w:bCs/>
                <w:color w:val="000000"/>
                <w:kern w:val="0"/>
                <w:sz w:val="22"/>
                <w:szCs w:val="22"/>
              </w:rPr>
              <w:br w:type="textWrapping"/>
            </w:r>
            <w:r>
              <w:rPr>
                <w:rFonts w:ascii="仿宋" w:hAnsi="仿宋" w:eastAsia="仿宋" w:cs="仿宋"/>
                <w:b/>
                <w:bCs/>
                <w:color w:val="000000"/>
                <w:kern w:val="0"/>
                <w:sz w:val="22"/>
                <w:szCs w:val="22"/>
              </w:rPr>
              <w:t>类别</w:t>
            </w:r>
          </w:p>
        </w:tc>
        <w:tc>
          <w:tcPr>
            <w:tcW w:w="3182" w:type="dxa"/>
            <w:tcBorders>
              <w:top w:val="single" w:color="000000" w:sz="4" w:space="0"/>
              <w:left w:val="single" w:color="000000" w:sz="4" w:space="0"/>
              <w:bottom w:val="single" w:color="000000" w:sz="4" w:space="0"/>
              <w:right w:val="single" w:color="000000" w:sz="4" w:space="0"/>
            </w:tcBorders>
            <w:noWrap/>
            <w:vAlign w:val="center"/>
          </w:tcPr>
          <w:p w14:paraId="49A51402">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企业名称</w:t>
            </w:r>
          </w:p>
        </w:tc>
        <w:tc>
          <w:tcPr>
            <w:tcW w:w="1377" w:type="dxa"/>
            <w:gridSpan w:val="2"/>
            <w:tcBorders>
              <w:top w:val="single" w:color="000000" w:sz="4" w:space="0"/>
              <w:left w:val="single" w:color="000000" w:sz="4" w:space="0"/>
              <w:bottom w:val="single" w:color="000000" w:sz="4" w:space="0"/>
              <w:right w:val="single" w:color="000000" w:sz="4" w:space="0"/>
            </w:tcBorders>
            <w:noWrap/>
            <w:vAlign w:val="center"/>
          </w:tcPr>
          <w:p w14:paraId="30B5304E">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检查主体</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CCE4959">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检查事项</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FC906BC">
            <w:pPr>
              <w:widowControl/>
              <w:spacing w:line="240" w:lineRule="exact"/>
              <w:jc w:val="center"/>
              <w:textAlignment w:val="center"/>
              <w:rPr>
                <w:rFonts w:ascii="仿宋" w:hAnsi="仿宋" w:eastAsia="仿宋" w:cs="仿宋"/>
                <w:b/>
                <w:bCs/>
                <w:color w:val="000000"/>
                <w:sz w:val="22"/>
                <w:szCs w:val="22"/>
              </w:rPr>
            </w:pPr>
            <w:r>
              <w:rPr>
                <w:rFonts w:ascii="仿宋" w:hAnsi="仿宋" w:eastAsia="仿宋" w:cs="仿宋"/>
                <w:b/>
                <w:bCs/>
                <w:color w:val="000000"/>
                <w:kern w:val="0"/>
                <w:sz w:val="22"/>
                <w:szCs w:val="22"/>
              </w:rPr>
              <w:t>检查依据</w:t>
            </w:r>
          </w:p>
        </w:tc>
      </w:tr>
      <w:tr w14:paraId="5213197B">
        <w:tblPrEx>
          <w:tblCellMar>
            <w:top w:w="0" w:type="dxa"/>
            <w:left w:w="108" w:type="dxa"/>
            <w:bottom w:w="0" w:type="dxa"/>
            <w:right w:w="108" w:type="dxa"/>
          </w:tblCellMar>
        </w:tblPrEx>
        <w:trPr>
          <w:trHeight w:val="1186"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0C9127D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1</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2AF0E33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燃气类</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（1家）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1358BA6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同心县国胜燃气有限公司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3BF3CC1B">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770E25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住建局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31BE2F7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对燃气经营企业的资质，生产环境条件、制度落实、燃气经营的安全状况等进行监督检查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F0658F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《宁夏回族自治区燃气管理条例》第四十一条、第四十六条</w:t>
            </w:r>
          </w:p>
        </w:tc>
      </w:tr>
      <w:tr w14:paraId="4985D8D6">
        <w:tblPrEx>
          <w:tblCellMar>
            <w:top w:w="0" w:type="dxa"/>
            <w:left w:w="108" w:type="dxa"/>
            <w:bottom w:w="0" w:type="dxa"/>
            <w:right w:w="108" w:type="dxa"/>
          </w:tblCellMar>
        </w:tblPrEx>
        <w:trPr>
          <w:trHeight w:val="105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520865F"/>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554C4320"/>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6C1E45A1"/>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510D48DD">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649889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7CB7CA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对燃气经营企业气瓶充装行为和使用的特种设备进行监督检查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5EA6B5C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w:t>
            </w:r>
          </w:p>
        </w:tc>
      </w:tr>
      <w:tr w14:paraId="48FAF4C8">
        <w:tblPrEx>
          <w:tblCellMar>
            <w:top w:w="0" w:type="dxa"/>
            <w:left w:w="108" w:type="dxa"/>
            <w:bottom w:w="0" w:type="dxa"/>
            <w:right w:w="108" w:type="dxa"/>
          </w:tblCellMar>
        </w:tblPrEx>
        <w:trPr>
          <w:trHeight w:val="828"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235BFFC"/>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2658C9A"/>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7116A2CF"/>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35EB7446"/>
        </w:tc>
        <w:tc>
          <w:tcPr>
            <w:tcW w:w="900" w:type="dxa"/>
            <w:tcBorders>
              <w:top w:val="single" w:color="000000" w:sz="4" w:space="0"/>
              <w:left w:val="single" w:color="000000" w:sz="4" w:space="0"/>
              <w:bottom w:val="single" w:color="000000" w:sz="4" w:space="0"/>
              <w:right w:val="single" w:color="000000" w:sz="4" w:space="0"/>
            </w:tcBorders>
            <w:noWrap/>
            <w:vAlign w:val="center"/>
          </w:tcPr>
          <w:p w14:paraId="49D05DC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BEBF20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对燃气运输车辆进行监督检查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012761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《危险货物道路运输安全管理办法》</w:t>
            </w:r>
            <w:r>
              <w:rPr>
                <w:rFonts w:hint="eastAsia" w:ascii="仿宋_GB2312" w:hAnsi="方正兰亭黑_GBK" w:eastAsia="仿宋_GB2312" w:cs="仿宋_GB2312"/>
                <w:color w:val="000000"/>
                <w:kern w:val="0"/>
                <w:sz w:val="22"/>
                <w:szCs w:val="22"/>
              </w:rPr>
              <w:t>第六条、第二十二条、第三十四条；</w:t>
            </w:r>
            <w:r>
              <w:rPr>
                <w:rFonts w:ascii="仿宋_GB2312" w:hAnsi="方正兰亭黑_GBK" w:eastAsia="仿宋_GB2312" w:cs="仿宋_GB2312"/>
                <w:color w:val="000000"/>
                <w:kern w:val="0"/>
                <w:sz w:val="22"/>
                <w:szCs w:val="22"/>
              </w:rPr>
              <w:t>《道路危险货物运输管理规定》</w:t>
            </w:r>
            <w:r>
              <w:rPr>
                <w:rFonts w:hint="eastAsia" w:ascii="仿宋_GB2312" w:hAnsi="方正兰亭黑_GBK" w:eastAsia="仿宋_GB2312" w:cs="仿宋_GB2312"/>
                <w:color w:val="000000"/>
                <w:kern w:val="0"/>
                <w:sz w:val="22"/>
                <w:szCs w:val="22"/>
              </w:rPr>
              <w:t>第二条、第二十条、第二十二条、第二十三条</w:t>
            </w:r>
          </w:p>
        </w:tc>
      </w:tr>
      <w:tr w14:paraId="1B0A5DF1">
        <w:tblPrEx>
          <w:tblCellMar>
            <w:top w:w="0" w:type="dxa"/>
            <w:left w:w="108" w:type="dxa"/>
            <w:bottom w:w="0" w:type="dxa"/>
            <w:right w:w="108" w:type="dxa"/>
          </w:tblCellMar>
        </w:tblPrEx>
        <w:trPr>
          <w:trHeight w:val="1001"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2D1580FF"/>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2D4AF20"/>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339678BD"/>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5AA8894A"/>
        </w:tc>
        <w:tc>
          <w:tcPr>
            <w:tcW w:w="900" w:type="dxa"/>
            <w:tcBorders>
              <w:top w:val="single" w:color="000000" w:sz="4" w:space="0"/>
              <w:left w:val="single" w:color="000000" w:sz="4" w:space="0"/>
              <w:bottom w:val="single" w:color="000000" w:sz="4" w:space="0"/>
              <w:right w:val="single" w:color="000000" w:sz="4" w:space="0"/>
            </w:tcBorders>
            <w:noWrap/>
            <w:vAlign w:val="center"/>
          </w:tcPr>
          <w:p w14:paraId="4022F10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EE1ABD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E8511B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70E2B32E">
        <w:tblPrEx>
          <w:tblCellMar>
            <w:top w:w="0" w:type="dxa"/>
            <w:left w:w="108" w:type="dxa"/>
            <w:bottom w:w="0" w:type="dxa"/>
            <w:right w:w="108" w:type="dxa"/>
          </w:tblCellMar>
        </w:tblPrEx>
        <w:trPr>
          <w:trHeight w:val="1188"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55EDE1FB"/>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6BE09CE6"/>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062AD88B"/>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049CCBD4"/>
        </w:tc>
        <w:tc>
          <w:tcPr>
            <w:tcW w:w="900" w:type="dxa"/>
            <w:tcBorders>
              <w:top w:val="single" w:color="000000" w:sz="4" w:space="0"/>
              <w:left w:val="single" w:color="000000" w:sz="4" w:space="0"/>
              <w:bottom w:val="single" w:color="000000" w:sz="4" w:space="0"/>
              <w:right w:val="single" w:color="000000" w:sz="4" w:space="0"/>
            </w:tcBorders>
            <w:noWrap/>
            <w:vAlign w:val="center"/>
          </w:tcPr>
          <w:p w14:paraId="47DC9AF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AB691A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负责依法查处燃气安全相关治安管理违法行为；负责日常消防监督检查、开展消防宣传教育，具体职责按照国务院公安部门规定执行</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797B39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《宁夏回族自治区燃气管理条例》第四十七条</w:t>
            </w:r>
          </w:p>
        </w:tc>
      </w:tr>
      <w:tr w14:paraId="56D37448">
        <w:tblPrEx>
          <w:tblCellMar>
            <w:top w:w="0" w:type="dxa"/>
            <w:left w:w="108" w:type="dxa"/>
            <w:bottom w:w="0" w:type="dxa"/>
            <w:right w:w="108" w:type="dxa"/>
          </w:tblCellMar>
        </w:tblPrEx>
        <w:trPr>
          <w:trHeight w:val="114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631C1666"/>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5C64F239"/>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4431CF78"/>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39B8963D"/>
        </w:tc>
        <w:tc>
          <w:tcPr>
            <w:tcW w:w="900" w:type="dxa"/>
            <w:tcBorders>
              <w:top w:val="single" w:color="000000" w:sz="4" w:space="0"/>
              <w:left w:val="single" w:color="000000" w:sz="4" w:space="0"/>
              <w:bottom w:val="single" w:color="000000" w:sz="4" w:space="0"/>
              <w:right w:val="single" w:color="000000" w:sz="4" w:space="0"/>
            </w:tcBorders>
            <w:noWrap/>
            <w:vAlign w:val="center"/>
          </w:tcPr>
          <w:p w14:paraId="0D20B6B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093113C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4686C7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696DF735">
        <w:tblPrEx>
          <w:tblCellMar>
            <w:top w:w="0" w:type="dxa"/>
            <w:left w:w="108" w:type="dxa"/>
            <w:bottom w:w="0" w:type="dxa"/>
            <w:right w:w="108" w:type="dxa"/>
          </w:tblCellMar>
        </w:tblPrEx>
        <w:trPr>
          <w:trHeight w:val="1189"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770A9D4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2</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12600AC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化工类</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（3家）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7CD447CF">
            <w:pPr>
              <w:widowControl/>
              <w:spacing w:after="220"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同德爱心循环能源科技有限公司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银山能源化工有限公司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华平科瑞能源化工有限公司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63053DB0">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5747AFE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478108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企业取得安全生产许可证情况；企业安全生产有关制度建设及事故隐患排查治理情况；企业相关人员及资质、工艺、设备设施、安全管理、安全培训情况；是否存在重大危险源等情况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C294E0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《中华人民共和国安全生产法》第二十八条、 第三十五条、第三十六条、第六十五条；《生产经营单位安全培训规定》第二十六条</w:t>
            </w:r>
          </w:p>
        </w:tc>
      </w:tr>
      <w:tr w14:paraId="30E240D0">
        <w:tblPrEx>
          <w:tblCellMar>
            <w:top w:w="0" w:type="dxa"/>
            <w:left w:w="108" w:type="dxa"/>
            <w:bottom w:w="0" w:type="dxa"/>
            <w:right w:w="108" w:type="dxa"/>
          </w:tblCellMar>
        </w:tblPrEx>
        <w:trPr>
          <w:trHeight w:val="943"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8AED7F9"/>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32E4B15"/>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7A7777DB"/>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2BFB38E1">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720B35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工信商务局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3B3561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对生产经营单位执行节能法律、法规及节能标准情况的检查；对违法用能行为进行检查等</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1DA06C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《中华人民共和国节约能源发法》第十二条；《宁夏回族自治区实施&lt;中华人民共和国节约能源发法&gt;办法》第四条</w:t>
            </w:r>
          </w:p>
        </w:tc>
      </w:tr>
      <w:tr w14:paraId="3D3D5BE5">
        <w:tblPrEx>
          <w:tblCellMar>
            <w:top w:w="0" w:type="dxa"/>
            <w:left w:w="108" w:type="dxa"/>
            <w:bottom w:w="0" w:type="dxa"/>
            <w:right w:w="108" w:type="dxa"/>
          </w:tblCellMar>
        </w:tblPrEx>
        <w:trPr>
          <w:trHeight w:val="944"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537BEE9"/>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1DD681FD"/>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B8BA14A"/>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CC0D620"/>
        </w:tc>
        <w:tc>
          <w:tcPr>
            <w:tcW w:w="900" w:type="dxa"/>
            <w:tcBorders>
              <w:top w:val="single" w:color="000000" w:sz="4" w:space="0"/>
              <w:left w:val="single" w:color="000000" w:sz="4" w:space="0"/>
              <w:bottom w:val="single" w:color="000000" w:sz="4" w:space="0"/>
              <w:right w:val="single" w:color="000000" w:sz="4" w:space="0"/>
            </w:tcBorders>
            <w:noWrap/>
            <w:vAlign w:val="center"/>
          </w:tcPr>
          <w:p w14:paraId="4B0450F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A10886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对废物处置情况、污染防治措施运行情况的检查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9F5747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《中华人民共和国固体废物污染环境防治法》第九条第二款、第二十六条第一款、第八十五条、《中华人民共和国环境污染法》第二十四条</w:t>
            </w:r>
          </w:p>
        </w:tc>
      </w:tr>
      <w:tr w14:paraId="663902AA">
        <w:tblPrEx>
          <w:tblCellMar>
            <w:top w:w="0" w:type="dxa"/>
            <w:left w:w="108" w:type="dxa"/>
            <w:bottom w:w="0" w:type="dxa"/>
            <w:right w:w="108" w:type="dxa"/>
          </w:tblCellMar>
        </w:tblPrEx>
        <w:trPr>
          <w:trHeight w:val="1258"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2514DE1"/>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D999AAD"/>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77D87517"/>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696A8FA"/>
        </w:tc>
        <w:tc>
          <w:tcPr>
            <w:tcW w:w="900" w:type="dxa"/>
            <w:tcBorders>
              <w:top w:val="single" w:color="000000" w:sz="4" w:space="0"/>
              <w:left w:val="single" w:color="000000" w:sz="4" w:space="0"/>
              <w:bottom w:val="single" w:color="000000" w:sz="4" w:space="0"/>
              <w:right w:val="single" w:color="000000" w:sz="4" w:space="0"/>
            </w:tcBorders>
            <w:noWrap/>
            <w:vAlign w:val="center"/>
          </w:tcPr>
          <w:p w14:paraId="72835E5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3C1CE8D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对企业使用的特种设备进行监督检查；工业产品生产许可证管理情况;对企业员工食堂等食品安全进行监督检查；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AEED86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《中华人民共和国食品安全法》第一百一十条；《中华人民共和国特种设备安全法》第五十七条；《特种设备安全监察条例》第五十条；《中华人民共和国工业产品生产许可证管理条例》第四十五条</w:t>
            </w:r>
          </w:p>
        </w:tc>
      </w:tr>
      <w:tr w14:paraId="6AC21601">
        <w:tblPrEx>
          <w:tblCellMar>
            <w:top w:w="0" w:type="dxa"/>
            <w:left w:w="108" w:type="dxa"/>
            <w:bottom w:w="0" w:type="dxa"/>
            <w:right w:w="108" w:type="dxa"/>
          </w:tblCellMar>
        </w:tblPrEx>
        <w:trPr>
          <w:trHeight w:val="756"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310C6701"/>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8A6E734"/>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EFCCC95"/>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DDD75F8"/>
        </w:tc>
        <w:tc>
          <w:tcPr>
            <w:tcW w:w="900" w:type="dxa"/>
            <w:tcBorders>
              <w:top w:val="single" w:color="000000" w:sz="4" w:space="0"/>
              <w:left w:val="single" w:color="000000" w:sz="4" w:space="0"/>
              <w:bottom w:val="single" w:color="000000" w:sz="4" w:space="0"/>
              <w:right w:val="single" w:color="000000" w:sz="4" w:space="0"/>
            </w:tcBorders>
            <w:noWrap/>
            <w:vAlign w:val="center"/>
          </w:tcPr>
          <w:p w14:paraId="3CBF5B3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FB57BB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34D889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149B5F8A">
        <w:tblPrEx>
          <w:tblCellMar>
            <w:top w:w="0" w:type="dxa"/>
            <w:left w:w="108" w:type="dxa"/>
            <w:bottom w:w="0" w:type="dxa"/>
            <w:right w:w="108" w:type="dxa"/>
          </w:tblCellMar>
        </w:tblPrEx>
        <w:trPr>
          <w:trHeight w:val="66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5D6A0988"/>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789D4E2"/>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6C6D3BC5"/>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56CB0808"/>
        </w:tc>
        <w:tc>
          <w:tcPr>
            <w:tcW w:w="900" w:type="dxa"/>
            <w:tcBorders>
              <w:top w:val="single" w:color="000000" w:sz="4" w:space="0"/>
              <w:left w:val="single" w:color="000000" w:sz="4" w:space="0"/>
              <w:bottom w:val="single" w:color="000000" w:sz="4" w:space="0"/>
              <w:right w:val="single" w:color="000000" w:sz="4" w:space="0"/>
            </w:tcBorders>
            <w:noWrap/>
            <w:vAlign w:val="center"/>
          </w:tcPr>
          <w:p w14:paraId="3170B78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75E6CD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对危险化学品道路运输的监管</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CC0099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《危险化学品安全管理条例》第四十九条</w:t>
            </w:r>
          </w:p>
        </w:tc>
      </w:tr>
      <w:tr w14:paraId="6328D3F9">
        <w:tblPrEx>
          <w:tblCellMar>
            <w:top w:w="0" w:type="dxa"/>
            <w:left w:w="108" w:type="dxa"/>
            <w:bottom w:w="0" w:type="dxa"/>
            <w:right w:w="108" w:type="dxa"/>
          </w:tblCellMar>
        </w:tblPrEx>
        <w:trPr>
          <w:trHeight w:val="77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66EF7BC"/>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47F59024"/>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29D1DE44"/>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E0D1BC8"/>
        </w:tc>
        <w:tc>
          <w:tcPr>
            <w:tcW w:w="900" w:type="dxa"/>
            <w:tcBorders>
              <w:top w:val="single" w:color="000000" w:sz="4" w:space="0"/>
              <w:left w:val="single" w:color="000000" w:sz="4" w:space="0"/>
              <w:bottom w:val="single" w:color="000000" w:sz="4" w:space="0"/>
              <w:right w:val="single" w:color="000000" w:sz="4" w:space="0"/>
            </w:tcBorders>
            <w:noWrap/>
            <w:vAlign w:val="center"/>
          </w:tcPr>
          <w:p w14:paraId="1636528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D258B3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577AEF6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5BD1A050">
        <w:tblPrEx>
          <w:tblCellMar>
            <w:top w:w="0" w:type="dxa"/>
            <w:left w:w="108" w:type="dxa"/>
            <w:bottom w:w="0" w:type="dxa"/>
            <w:right w:w="108" w:type="dxa"/>
          </w:tblCellMar>
        </w:tblPrEx>
        <w:trPr>
          <w:trHeight w:val="1259"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98E2C87"/>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6BFBFBB"/>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25D14C11"/>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E4CF0AB"/>
        </w:tc>
        <w:tc>
          <w:tcPr>
            <w:tcW w:w="900" w:type="dxa"/>
            <w:tcBorders>
              <w:top w:val="single" w:color="000000" w:sz="4" w:space="0"/>
              <w:left w:val="single" w:color="000000" w:sz="4" w:space="0"/>
              <w:bottom w:val="single" w:color="000000" w:sz="4" w:space="0"/>
              <w:right w:val="single" w:color="000000" w:sz="4" w:space="0"/>
            </w:tcBorders>
            <w:noWrap/>
            <w:vAlign w:val="center"/>
          </w:tcPr>
          <w:p w14:paraId="62F99FE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4C78FB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7CF6B6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中华人民共和国社会保险法》第七十七条、第七十九条；《宁夏回族自治区劳动保障监察条例》第八条</w:t>
            </w:r>
          </w:p>
        </w:tc>
      </w:tr>
      <w:tr w14:paraId="61787697">
        <w:tblPrEx>
          <w:tblCellMar>
            <w:top w:w="0" w:type="dxa"/>
            <w:left w:w="108" w:type="dxa"/>
            <w:bottom w:w="0" w:type="dxa"/>
            <w:right w:w="108" w:type="dxa"/>
          </w:tblCellMar>
        </w:tblPrEx>
        <w:trPr>
          <w:trHeight w:val="90"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559C4303">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3</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2C15A2C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矿山类</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（5家）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2D0E03D9">
            <w:pPr>
              <w:widowControl/>
              <w:spacing w:after="220"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宁夏瑞鸿煤炭贸易有限公司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宁夏瑞鸿韦二矿业有限公司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宁夏力量矿业有限公司同心分公司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宁夏豪龙建材有限公司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宁夏城发矿业有限责任公司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67940378">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55C20B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EEEF93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检查从业人员安全教育培训情况；检查安全生产事故应急预案制定情况和事故隐患排查治理情况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41DC26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《中华人民共和国安全生产法》第二十八条、 第三十五条、第三十六条、第六十五条；《生产经营单位安全培训规定》第二十六条；《安全生产事故隐患排查治理暂行规定》第二十条</w:t>
            </w:r>
          </w:p>
        </w:tc>
      </w:tr>
      <w:tr w14:paraId="7F2C366E">
        <w:tblPrEx>
          <w:tblCellMar>
            <w:top w:w="0" w:type="dxa"/>
            <w:left w:w="108" w:type="dxa"/>
            <w:bottom w:w="0" w:type="dxa"/>
            <w:right w:w="108" w:type="dxa"/>
          </w:tblCellMar>
        </w:tblPrEx>
        <w:trPr>
          <w:trHeight w:val="72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FF1E0AF"/>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46D2CBF6"/>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310A1FD"/>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27524B55">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049C47A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自然资源局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B728CF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对矿山企业开采资质、采矿许可范围和矿区生态修复等情况进行检查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62103F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《中华人民共和国矿产资源法》第十一条、第五十六条；《中华人民共和国矿产资源法实施细则》第八条</w:t>
            </w:r>
          </w:p>
        </w:tc>
      </w:tr>
      <w:tr w14:paraId="2F60E771">
        <w:tblPrEx>
          <w:tblCellMar>
            <w:top w:w="0" w:type="dxa"/>
            <w:left w:w="108" w:type="dxa"/>
            <w:bottom w:w="0" w:type="dxa"/>
            <w:right w:w="108" w:type="dxa"/>
          </w:tblCellMar>
        </w:tblPrEx>
        <w:trPr>
          <w:trHeight w:val="858"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9F0EC09"/>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4F931FBE"/>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46A24E7"/>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32C3996"/>
        </w:tc>
        <w:tc>
          <w:tcPr>
            <w:tcW w:w="900" w:type="dxa"/>
            <w:tcBorders>
              <w:top w:val="single" w:color="000000" w:sz="4" w:space="0"/>
              <w:left w:val="single" w:color="000000" w:sz="4" w:space="0"/>
              <w:bottom w:val="single" w:color="000000" w:sz="4" w:space="0"/>
              <w:right w:val="single" w:color="000000" w:sz="4" w:space="0"/>
            </w:tcBorders>
            <w:noWrap/>
            <w:vAlign w:val="center"/>
          </w:tcPr>
          <w:p w14:paraId="1D7436C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F51FBE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对三同时制度落实情况、污染防治措施运行情况的检查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8ABA7C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《建设项目环境保护管理条例》第十五条、第二十条；《建设项目环境影响后评价管理办法（试行）》第六条；《中华人民共和国环境污染法》第二十四条、第四十一条</w:t>
            </w:r>
          </w:p>
        </w:tc>
      </w:tr>
      <w:tr w14:paraId="42EA7ED0">
        <w:tblPrEx>
          <w:tblCellMar>
            <w:top w:w="0" w:type="dxa"/>
            <w:left w:w="108" w:type="dxa"/>
            <w:bottom w:w="0" w:type="dxa"/>
            <w:right w:w="108" w:type="dxa"/>
          </w:tblCellMar>
        </w:tblPrEx>
        <w:trPr>
          <w:trHeight w:val="936"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3C816C66"/>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0AA8EF69"/>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4188F92D"/>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724DE86A"/>
        </w:tc>
        <w:tc>
          <w:tcPr>
            <w:tcW w:w="900" w:type="dxa"/>
            <w:tcBorders>
              <w:top w:val="single" w:color="000000" w:sz="4" w:space="0"/>
              <w:left w:val="single" w:color="000000" w:sz="4" w:space="0"/>
              <w:bottom w:val="single" w:color="000000" w:sz="4" w:space="0"/>
              <w:right w:val="single" w:color="000000" w:sz="4" w:space="0"/>
            </w:tcBorders>
            <w:noWrap/>
            <w:vAlign w:val="center"/>
          </w:tcPr>
          <w:p w14:paraId="3864A2E5">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林草局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AF22EB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检查矿山企业占用林地、草原及林地草原复绿情况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08FEF5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《中华人民共和国草原法》第三十八条、第三十九条、第四十条、第六十八条，《中华人民共和国森林法》第三十七条、第三十八条、第三十九条、第七十三条、第七十四条</w:t>
            </w:r>
          </w:p>
        </w:tc>
      </w:tr>
      <w:tr w14:paraId="7ECA5459">
        <w:tblPrEx>
          <w:tblCellMar>
            <w:top w:w="0" w:type="dxa"/>
            <w:left w:w="108" w:type="dxa"/>
            <w:bottom w:w="0" w:type="dxa"/>
            <w:right w:w="108" w:type="dxa"/>
          </w:tblCellMar>
        </w:tblPrEx>
        <w:trPr>
          <w:trHeight w:val="1106"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6AC6A603"/>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96D2087"/>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3F7F1F99"/>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CAE192A"/>
        </w:tc>
        <w:tc>
          <w:tcPr>
            <w:tcW w:w="900" w:type="dxa"/>
            <w:tcBorders>
              <w:top w:val="single" w:color="000000" w:sz="4" w:space="0"/>
              <w:left w:val="single" w:color="000000" w:sz="4" w:space="0"/>
              <w:bottom w:val="single" w:color="000000" w:sz="4" w:space="0"/>
              <w:right w:val="single" w:color="000000" w:sz="4" w:space="0"/>
            </w:tcBorders>
            <w:noWrap/>
            <w:vAlign w:val="center"/>
          </w:tcPr>
          <w:p w14:paraId="32103E2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78EDFD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对企业使用的地上特种设备进行监督检查；工业产品生产许可证管理情况;对企业员工食堂等食品安全进行监督检查；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664FD0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《中华人民共和国食品安全法》第一百一十条；《中华人民共和国特种设备安全法》第五十七条；《特种设备安全监察条例》第五十条；《中华人民共和国工业产品生产许可证管理条例》第四十五条</w:t>
            </w:r>
          </w:p>
        </w:tc>
      </w:tr>
      <w:tr w14:paraId="229AEF23">
        <w:tblPrEx>
          <w:tblCellMar>
            <w:top w:w="0" w:type="dxa"/>
            <w:left w:w="108" w:type="dxa"/>
            <w:bottom w:w="0" w:type="dxa"/>
            <w:right w:w="108" w:type="dxa"/>
          </w:tblCellMar>
        </w:tblPrEx>
        <w:trPr>
          <w:trHeight w:val="57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1193DCF1"/>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1C19D57F"/>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7C188882"/>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75713484"/>
        </w:tc>
        <w:tc>
          <w:tcPr>
            <w:tcW w:w="900" w:type="dxa"/>
            <w:tcBorders>
              <w:top w:val="single" w:color="000000" w:sz="4" w:space="0"/>
              <w:left w:val="single" w:color="000000" w:sz="4" w:space="0"/>
              <w:bottom w:val="single" w:color="000000" w:sz="4" w:space="0"/>
              <w:right w:val="single" w:color="000000" w:sz="4" w:space="0"/>
            </w:tcBorders>
            <w:noWrap/>
            <w:vAlign w:val="center"/>
          </w:tcPr>
          <w:p w14:paraId="21D0E15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894EE7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职业病危害因素防控与职业病防治</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57BEBE7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59976621">
        <w:tblPrEx>
          <w:tblCellMar>
            <w:top w:w="0" w:type="dxa"/>
            <w:left w:w="108" w:type="dxa"/>
            <w:bottom w:w="0" w:type="dxa"/>
            <w:right w:w="108" w:type="dxa"/>
          </w:tblCellMar>
        </w:tblPrEx>
        <w:trPr>
          <w:trHeight w:val="79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C6D1D4B"/>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4517031"/>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018AB31"/>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3E423DB"/>
        </w:tc>
        <w:tc>
          <w:tcPr>
            <w:tcW w:w="900" w:type="dxa"/>
            <w:tcBorders>
              <w:top w:val="single" w:color="000000" w:sz="4" w:space="0"/>
              <w:left w:val="single" w:color="000000" w:sz="4" w:space="0"/>
              <w:bottom w:val="single" w:color="000000" w:sz="4" w:space="0"/>
              <w:right w:val="single" w:color="000000" w:sz="4" w:space="0"/>
            </w:tcBorders>
            <w:noWrap/>
            <w:vAlign w:val="center"/>
          </w:tcPr>
          <w:p w14:paraId="3E6FCBB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交通运输局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3B9D7795">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对矿山企业超限超载情况进行检查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0268DC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《公路安全保护条例》第</w:t>
            </w:r>
            <w:r>
              <w:rPr>
                <w:rFonts w:hint="eastAsia" w:ascii="仿宋_GB2312" w:hAnsi="方正兰亭黑_GBK" w:eastAsia="仿宋_GB2312" w:cs="仿宋_GB2312"/>
                <w:color w:val="000000"/>
                <w:kern w:val="0"/>
                <w:sz w:val="22"/>
                <w:szCs w:val="22"/>
              </w:rPr>
              <w:t>三十三</w:t>
            </w:r>
            <w:r>
              <w:rPr>
                <w:rFonts w:ascii="仿宋_GB2312" w:hAnsi="方正兰亭黑_GBK" w:eastAsia="仿宋_GB2312" w:cs="仿宋_GB2312"/>
                <w:color w:val="000000"/>
                <w:kern w:val="0"/>
                <w:sz w:val="22"/>
                <w:szCs w:val="22"/>
              </w:rPr>
              <w:t>条</w:t>
            </w:r>
            <w:r>
              <w:rPr>
                <w:rFonts w:hint="eastAsia" w:ascii="仿宋_GB2312" w:hAnsi="方正兰亭黑_GBK" w:eastAsia="仿宋_GB2312" w:cs="仿宋_GB2312"/>
                <w:color w:val="000000"/>
                <w:kern w:val="0"/>
                <w:sz w:val="22"/>
                <w:szCs w:val="22"/>
              </w:rPr>
              <w:t>、第三十五条；</w:t>
            </w:r>
            <w:r>
              <w:rPr>
                <w:rFonts w:ascii="仿宋_GB2312" w:hAnsi="方正兰亭黑_GBK" w:eastAsia="仿宋_GB2312" w:cs="仿宋_GB2312"/>
                <w:color w:val="000000"/>
                <w:kern w:val="0"/>
                <w:sz w:val="22"/>
                <w:szCs w:val="22"/>
              </w:rPr>
              <w:t>《超限运输车辆行驶公路管理规定》</w:t>
            </w:r>
            <w:r>
              <w:rPr>
                <w:rFonts w:hint="eastAsia" w:ascii="仿宋_GB2312" w:hAnsi="方正兰亭黑_GBK" w:eastAsia="仿宋_GB2312" w:cs="仿宋_GB2312"/>
                <w:color w:val="000000"/>
                <w:kern w:val="0"/>
                <w:sz w:val="22"/>
                <w:szCs w:val="22"/>
              </w:rPr>
              <w:t>第三条，第二十条</w:t>
            </w:r>
          </w:p>
        </w:tc>
      </w:tr>
      <w:tr w14:paraId="7D6B6A0F">
        <w:tblPrEx>
          <w:tblCellMar>
            <w:top w:w="0" w:type="dxa"/>
            <w:left w:w="108" w:type="dxa"/>
            <w:bottom w:w="0" w:type="dxa"/>
            <w:right w:w="108" w:type="dxa"/>
          </w:tblCellMar>
        </w:tblPrEx>
        <w:trPr>
          <w:trHeight w:val="64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13B39342"/>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0D838438"/>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3071F956"/>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93F5350"/>
        </w:tc>
        <w:tc>
          <w:tcPr>
            <w:tcW w:w="900" w:type="dxa"/>
            <w:tcBorders>
              <w:top w:val="single" w:color="000000" w:sz="4" w:space="0"/>
              <w:left w:val="single" w:color="000000" w:sz="4" w:space="0"/>
              <w:bottom w:val="single" w:color="000000" w:sz="4" w:space="0"/>
              <w:right w:val="single" w:color="000000" w:sz="4" w:space="0"/>
            </w:tcBorders>
            <w:noWrap/>
            <w:vAlign w:val="center"/>
          </w:tcPr>
          <w:p w14:paraId="5BEF486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公安局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059D95F">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对民用爆炸物的许可、使用、储存等情况的监督检查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98F280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《中华人民共和国治安管理处罚法》第三十条、三十一条；《民用爆炸物品安全管理条例》</w:t>
            </w:r>
          </w:p>
        </w:tc>
      </w:tr>
      <w:tr w14:paraId="169920C2">
        <w:tblPrEx>
          <w:tblCellMar>
            <w:top w:w="0" w:type="dxa"/>
            <w:left w:w="108" w:type="dxa"/>
            <w:bottom w:w="0" w:type="dxa"/>
            <w:right w:w="108" w:type="dxa"/>
          </w:tblCellMar>
        </w:tblPrEx>
        <w:trPr>
          <w:trHeight w:val="981"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30BBF1A9"/>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56585489"/>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119A7556"/>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53621715"/>
        </w:tc>
        <w:tc>
          <w:tcPr>
            <w:tcW w:w="900" w:type="dxa"/>
            <w:tcBorders>
              <w:top w:val="single" w:color="000000" w:sz="4" w:space="0"/>
              <w:left w:val="single" w:color="000000" w:sz="4" w:space="0"/>
              <w:bottom w:val="single" w:color="000000" w:sz="4" w:space="0"/>
              <w:right w:val="single" w:color="000000" w:sz="4" w:space="0"/>
            </w:tcBorders>
            <w:noWrap/>
            <w:vAlign w:val="center"/>
          </w:tcPr>
          <w:p w14:paraId="73C4D0F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0F6A5AA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C5A1CC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中华人民共和国社会保险法》第七十七条、第七十九条；《宁夏回族自治区劳动保障监察条例》第八条</w:t>
            </w:r>
          </w:p>
        </w:tc>
      </w:tr>
      <w:tr w14:paraId="0F144C43">
        <w:tblPrEx>
          <w:tblCellMar>
            <w:top w:w="0" w:type="dxa"/>
            <w:left w:w="108" w:type="dxa"/>
            <w:bottom w:w="0" w:type="dxa"/>
            <w:right w:w="108" w:type="dxa"/>
          </w:tblCellMar>
        </w:tblPrEx>
        <w:trPr>
          <w:trHeight w:val="513"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A715C90"/>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4D7A6E1"/>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1E2FDAE5"/>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7A2C2240"/>
        </w:tc>
        <w:tc>
          <w:tcPr>
            <w:tcW w:w="900" w:type="dxa"/>
            <w:tcBorders>
              <w:top w:val="single" w:color="000000" w:sz="4" w:space="0"/>
              <w:left w:val="single" w:color="000000" w:sz="4" w:space="0"/>
              <w:bottom w:val="single" w:color="000000" w:sz="4" w:space="0"/>
              <w:right w:val="single" w:color="000000" w:sz="4" w:space="0"/>
            </w:tcBorders>
            <w:noWrap/>
            <w:vAlign w:val="center"/>
          </w:tcPr>
          <w:p w14:paraId="654E6D0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B283961">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检查水土保持方案落实情况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C78882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r w14:paraId="003DCC96">
        <w:tblPrEx>
          <w:tblCellMar>
            <w:top w:w="0" w:type="dxa"/>
            <w:left w:w="108" w:type="dxa"/>
            <w:bottom w:w="0" w:type="dxa"/>
            <w:right w:w="108" w:type="dxa"/>
          </w:tblCellMar>
        </w:tblPrEx>
        <w:trPr>
          <w:trHeight w:val="1549"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2CA0C19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4</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7EF3FE4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食品</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加工类</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（16家）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6F699394">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 xml:space="preserve">宁夏圣峰百年农牧开发有限公司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宁夏回达滩羊肉食品有限公司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同心县祥福粮油食品有限公司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宁夏金福莱食品科技有限公司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宁夏五谷丰生物科技发展有限公司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宁夏伊杨沁健康食品有限公司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宁夏迎福食品科技有限公司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同心县享口福食品有限公司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宁夏鸿翔古坊食品有限公司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宁夏兰卿食品有限公司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宁夏小黄鸭食品有限公司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同心县齐雅德食品有限公司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 xml:space="preserve">宁夏山谷子杂粮食品有限公司  </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宁夏回春粮油有限公司</w:t>
            </w:r>
          </w:p>
          <w:p w14:paraId="7ABDF84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宁夏旺宏农牧有限公司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宁夏润德生物科技有限责任公司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57D348AE">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5F966E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6C9913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对企业食品生产经营活动、</w:t>
            </w:r>
            <w:r>
              <w:rPr>
                <w:rFonts w:hint="eastAsia" w:ascii="仿宋_GB2312" w:hAnsi="方正兰亭黑_GBK" w:eastAsia="仿宋_GB2312" w:cs="仿宋_GB2312"/>
                <w:color w:val="000000"/>
                <w:kern w:val="0"/>
                <w:sz w:val="22"/>
                <w:szCs w:val="22"/>
              </w:rPr>
              <w:t>使用的</w:t>
            </w:r>
            <w:r>
              <w:rPr>
                <w:rFonts w:ascii="仿宋_GB2312" w:hAnsi="方正兰亭黑_GBK" w:eastAsia="仿宋_GB2312" w:cs="仿宋_GB2312"/>
                <w:color w:val="000000"/>
                <w:kern w:val="0"/>
                <w:sz w:val="22"/>
                <w:szCs w:val="22"/>
              </w:rPr>
              <w:t>特种设备进行监督检查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D1DEAC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《中华人民共和国食品安全法》第三十三条、第三十五条、第四十四条、第四十五条、第五十三条、第一百一十条；《中华人民共和国特种设备安全法》第五十七条、《特种设备安全监察条例》第五十条、</w:t>
            </w:r>
          </w:p>
        </w:tc>
      </w:tr>
      <w:tr w14:paraId="079DC37A">
        <w:tblPrEx>
          <w:tblCellMar>
            <w:top w:w="0" w:type="dxa"/>
            <w:left w:w="108" w:type="dxa"/>
            <w:bottom w:w="0" w:type="dxa"/>
            <w:right w:w="108" w:type="dxa"/>
          </w:tblCellMar>
        </w:tblPrEx>
        <w:trPr>
          <w:trHeight w:val="114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ADF750F"/>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CBE8D37"/>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6DC1BEE2"/>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4D255DDB">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4D6F727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39F46F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检查企业水、固体废物等的排放和污染防治情况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76CF59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《中华人民共和国水污染防治法》第三十条；《中华人民共和国固体废物污染环境防治法》第九条、第二十六条</w:t>
            </w:r>
          </w:p>
        </w:tc>
      </w:tr>
      <w:tr w14:paraId="78384869">
        <w:tblPrEx>
          <w:tblCellMar>
            <w:top w:w="0" w:type="dxa"/>
            <w:left w:w="108" w:type="dxa"/>
            <w:bottom w:w="0" w:type="dxa"/>
            <w:right w:w="108" w:type="dxa"/>
          </w:tblCellMar>
        </w:tblPrEx>
        <w:trPr>
          <w:trHeight w:val="159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AF0CC33"/>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048A6E5A"/>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7E94EE31"/>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09658366"/>
        </w:tc>
        <w:tc>
          <w:tcPr>
            <w:tcW w:w="900" w:type="dxa"/>
            <w:tcBorders>
              <w:top w:val="single" w:color="000000" w:sz="4" w:space="0"/>
              <w:left w:val="single" w:color="000000" w:sz="4" w:space="0"/>
              <w:bottom w:val="single" w:color="000000" w:sz="4" w:space="0"/>
              <w:right w:val="single" w:color="000000" w:sz="4" w:space="0"/>
            </w:tcBorders>
            <w:noWrap/>
            <w:vAlign w:val="center"/>
          </w:tcPr>
          <w:p w14:paraId="24E2F30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671C87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对生产经营单位事故隐患排查、安全培训及特种作业人员持证上岗等情况进行检查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8AAB08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《安全生产事故隐患排查治理暂行规定》第二十条；《生产经营单位安全培训规定》第二十六条</w:t>
            </w:r>
          </w:p>
        </w:tc>
      </w:tr>
      <w:tr w14:paraId="5728416C">
        <w:tblPrEx>
          <w:tblCellMar>
            <w:top w:w="0" w:type="dxa"/>
            <w:left w:w="108" w:type="dxa"/>
            <w:bottom w:w="0" w:type="dxa"/>
            <w:right w:w="108" w:type="dxa"/>
          </w:tblCellMar>
        </w:tblPrEx>
        <w:trPr>
          <w:trHeight w:val="142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52ACDC54"/>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4383B74"/>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05FEAE64"/>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0F710BEC"/>
        </w:tc>
        <w:tc>
          <w:tcPr>
            <w:tcW w:w="900" w:type="dxa"/>
            <w:tcBorders>
              <w:top w:val="single" w:color="000000" w:sz="4" w:space="0"/>
              <w:left w:val="single" w:color="000000" w:sz="4" w:space="0"/>
              <w:bottom w:val="single" w:color="000000" w:sz="4" w:space="0"/>
              <w:right w:val="single" w:color="000000" w:sz="4" w:space="0"/>
            </w:tcBorders>
            <w:noWrap/>
            <w:vAlign w:val="center"/>
          </w:tcPr>
          <w:p w14:paraId="6F8BA65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5BE4CA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对粮食经营者从事粮食收购、储存、运输活动和政策性粮食的购销活动，及执行国家粮食流通统计制度的情况进行监督检查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1D06B7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《粮食流通管理条例》第三十八条</w:t>
            </w:r>
          </w:p>
        </w:tc>
      </w:tr>
      <w:tr w14:paraId="0DA1F8A9">
        <w:tblPrEx>
          <w:tblCellMar>
            <w:top w:w="0" w:type="dxa"/>
            <w:left w:w="108" w:type="dxa"/>
            <w:bottom w:w="0" w:type="dxa"/>
            <w:right w:w="108" w:type="dxa"/>
          </w:tblCellMar>
        </w:tblPrEx>
        <w:trPr>
          <w:trHeight w:val="118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43DDE451"/>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13D12865"/>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439076A3"/>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42FFA95"/>
        </w:tc>
        <w:tc>
          <w:tcPr>
            <w:tcW w:w="900" w:type="dxa"/>
            <w:tcBorders>
              <w:top w:val="single" w:color="000000" w:sz="4" w:space="0"/>
              <w:left w:val="single" w:color="000000" w:sz="4" w:space="0"/>
              <w:bottom w:val="single" w:color="000000" w:sz="4" w:space="0"/>
              <w:right w:val="single" w:color="000000" w:sz="4" w:space="0"/>
            </w:tcBorders>
            <w:noWrap/>
            <w:vAlign w:val="center"/>
          </w:tcPr>
          <w:p w14:paraId="4EF48E2B">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248E70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557B75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1E54AD69">
        <w:tblPrEx>
          <w:tblCellMar>
            <w:top w:w="0" w:type="dxa"/>
            <w:left w:w="108" w:type="dxa"/>
            <w:bottom w:w="0" w:type="dxa"/>
            <w:right w:w="108" w:type="dxa"/>
          </w:tblCellMar>
        </w:tblPrEx>
        <w:trPr>
          <w:trHeight w:val="959"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34F3EC72"/>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8719D24"/>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6BA8996F"/>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2DA257D"/>
        </w:tc>
        <w:tc>
          <w:tcPr>
            <w:tcW w:w="900" w:type="dxa"/>
            <w:tcBorders>
              <w:top w:val="single" w:color="000000" w:sz="4" w:space="0"/>
              <w:left w:val="single" w:color="000000" w:sz="4" w:space="0"/>
              <w:bottom w:val="single" w:color="000000" w:sz="4" w:space="0"/>
              <w:right w:val="single" w:color="000000" w:sz="4" w:space="0"/>
            </w:tcBorders>
            <w:noWrap/>
            <w:vAlign w:val="center"/>
          </w:tcPr>
          <w:p w14:paraId="7DBEE1A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97639E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75C111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《中华人民共和国劳动合同法》第七十三条、第七十四条；《中华人民共和国社会保险法》第七十七条、第七十九条；《宁夏回族自治区劳动保障监察条例》第八条</w:t>
            </w:r>
          </w:p>
        </w:tc>
      </w:tr>
      <w:tr w14:paraId="7DA43B26">
        <w:tblPrEx>
          <w:tblCellMar>
            <w:top w:w="0" w:type="dxa"/>
            <w:left w:w="108" w:type="dxa"/>
            <w:bottom w:w="0" w:type="dxa"/>
            <w:right w:w="108" w:type="dxa"/>
          </w:tblCellMar>
        </w:tblPrEx>
        <w:trPr>
          <w:trHeight w:val="1365"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51D9999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5</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36C99368">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水资源</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（1家）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4C28090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宁夏水投中源水务有限公司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3AAF91CA">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091E1C8E">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水务局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EDBC2B9">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对取水用水、计量设施、防治污染等情况进行监督监测</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264675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《中华人民共和国水法》第四十八条、四十九条、六十条</w:t>
            </w:r>
          </w:p>
        </w:tc>
      </w:tr>
      <w:tr w14:paraId="6AA92A98">
        <w:tblPrEx>
          <w:tblCellMar>
            <w:top w:w="0" w:type="dxa"/>
            <w:left w:w="108" w:type="dxa"/>
            <w:bottom w:w="0" w:type="dxa"/>
            <w:right w:w="108" w:type="dxa"/>
          </w:tblCellMar>
        </w:tblPrEx>
        <w:trPr>
          <w:trHeight w:val="139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28FF5442"/>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343753A"/>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489278A3"/>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36E12BAB">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69F507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卫生健康局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E312CA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卫生有效证件、卫生管理制度、设施设备、供水卫生要求</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40D72F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《生活饮用水卫生监督管理办法》《宁夏回族自治区生活饮用水卫生监督管理条例》</w:t>
            </w:r>
          </w:p>
        </w:tc>
      </w:tr>
      <w:tr w14:paraId="6D60C252">
        <w:tblPrEx>
          <w:tblCellMar>
            <w:top w:w="0" w:type="dxa"/>
            <w:left w:w="108" w:type="dxa"/>
            <w:bottom w:w="0" w:type="dxa"/>
            <w:right w:w="108" w:type="dxa"/>
          </w:tblCellMar>
        </w:tblPrEx>
        <w:trPr>
          <w:trHeight w:val="103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5610D15"/>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5A765391"/>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3C56A05"/>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BF43CB3"/>
        </w:tc>
        <w:tc>
          <w:tcPr>
            <w:tcW w:w="900" w:type="dxa"/>
            <w:tcBorders>
              <w:top w:val="single" w:color="000000" w:sz="4" w:space="0"/>
              <w:left w:val="single" w:color="000000" w:sz="4" w:space="0"/>
              <w:bottom w:val="single" w:color="000000" w:sz="4" w:space="0"/>
              <w:right w:val="single" w:color="000000" w:sz="4" w:space="0"/>
            </w:tcBorders>
            <w:noWrap/>
            <w:vAlign w:val="center"/>
          </w:tcPr>
          <w:p w14:paraId="17C76E87">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住建局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081D640">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对水质、供水安全、设备的安全使用等情况进行监督检查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3F09AB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《城市供水水质管理规定》第十五条、第十六条、第十七条</w:t>
            </w:r>
          </w:p>
        </w:tc>
      </w:tr>
      <w:tr w14:paraId="24A1C567">
        <w:tblPrEx>
          <w:tblCellMar>
            <w:top w:w="0" w:type="dxa"/>
            <w:left w:w="108" w:type="dxa"/>
            <w:bottom w:w="0" w:type="dxa"/>
            <w:right w:w="108" w:type="dxa"/>
          </w:tblCellMar>
        </w:tblPrEx>
        <w:trPr>
          <w:trHeight w:val="225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277764E"/>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0772EA20"/>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2FED3E3D"/>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59E7093"/>
        </w:tc>
        <w:tc>
          <w:tcPr>
            <w:tcW w:w="900" w:type="dxa"/>
            <w:tcBorders>
              <w:top w:val="single" w:color="000000" w:sz="4" w:space="0"/>
              <w:left w:val="single" w:color="000000" w:sz="4" w:space="0"/>
              <w:bottom w:val="single" w:color="000000" w:sz="4" w:space="0"/>
              <w:right w:val="single" w:color="000000" w:sz="4" w:space="0"/>
            </w:tcBorders>
            <w:noWrap/>
            <w:vAlign w:val="center"/>
          </w:tcPr>
          <w:p w14:paraId="1F7002D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0E03C0C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对企业水、污泥、在线数据、废气处置等情况的检查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79E012B">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《中华人民共和国水污染防治法》第三十条；《中华人民共和国固体废物污染环境防治法》第九条、第二十六条、《中华人民共和国环境保护法》第二十四条、《中华人民共和国大气污染法》第二十三条</w:t>
            </w:r>
          </w:p>
        </w:tc>
      </w:tr>
      <w:tr w14:paraId="58518A10">
        <w:tblPrEx>
          <w:tblCellMar>
            <w:top w:w="0" w:type="dxa"/>
            <w:left w:w="108" w:type="dxa"/>
            <w:bottom w:w="0" w:type="dxa"/>
            <w:right w:w="108" w:type="dxa"/>
          </w:tblCellMar>
        </w:tblPrEx>
        <w:trPr>
          <w:trHeight w:val="184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1E34600"/>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45076554"/>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240C5D9"/>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048023D1"/>
        </w:tc>
        <w:tc>
          <w:tcPr>
            <w:tcW w:w="900" w:type="dxa"/>
            <w:tcBorders>
              <w:top w:val="single" w:color="000000" w:sz="4" w:space="0"/>
              <w:left w:val="single" w:color="000000" w:sz="4" w:space="0"/>
              <w:bottom w:val="single" w:color="000000" w:sz="4" w:space="0"/>
              <w:right w:val="single" w:color="000000" w:sz="4" w:space="0"/>
            </w:tcBorders>
            <w:noWrap/>
            <w:vAlign w:val="center"/>
          </w:tcPr>
          <w:p w14:paraId="4ABA030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39D5DD91">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对企业使用的特种设备进行监督检查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946D257">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w:t>
            </w:r>
          </w:p>
        </w:tc>
      </w:tr>
      <w:tr w14:paraId="6B3F984E">
        <w:tblPrEx>
          <w:tblCellMar>
            <w:top w:w="0" w:type="dxa"/>
            <w:left w:w="108" w:type="dxa"/>
            <w:bottom w:w="0" w:type="dxa"/>
            <w:right w:w="108" w:type="dxa"/>
          </w:tblCellMar>
        </w:tblPrEx>
        <w:trPr>
          <w:trHeight w:val="1114" w:hRule="atLeast"/>
        </w:trPr>
        <w:tc>
          <w:tcPr>
            <w:tcW w:w="442" w:type="dxa"/>
            <w:vMerge w:val="restart"/>
            <w:tcBorders>
              <w:top w:val="single" w:color="000000" w:sz="4" w:space="0"/>
              <w:left w:val="single" w:color="000000" w:sz="4" w:space="0"/>
              <w:bottom w:val="single" w:color="000000" w:sz="4" w:space="0"/>
              <w:right w:val="single" w:color="000000" w:sz="4" w:space="0"/>
            </w:tcBorders>
            <w:noWrap/>
            <w:vAlign w:val="center"/>
          </w:tcPr>
          <w:p w14:paraId="6A5C84E9">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6</w:t>
            </w:r>
          </w:p>
        </w:tc>
        <w:tc>
          <w:tcPr>
            <w:tcW w:w="1135" w:type="dxa"/>
            <w:vMerge w:val="restart"/>
            <w:tcBorders>
              <w:top w:val="single" w:color="000000" w:sz="4" w:space="0"/>
              <w:left w:val="single" w:color="000000" w:sz="4" w:space="0"/>
              <w:bottom w:val="single" w:color="000000" w:sz="4" w:space="0"/>
              <w:right w:val="single" w:color="000000" w:sz="4" w:space="0"/>
            </w:tcBorders>
            <w:noWrap/>
            <w:vAlign w:val="center"/>
          </w:tcPr>
          <w:p w14:paraId="47FF65C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农业类</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（6家）</w:t>
            </w:r>
          </w:p>
        </w:tc>
        <w:tc>
          <w:tcPr>
            <w:tcW w:w="3182" w:type="dxa"/>
            <w:vMerge w:val="restart"/>
            <w:tcBorders>
              <w:top w:val="single" w:color="000000" w:sz="4" w:space="0"/>
              <w:left w:val="single" w:color="000000" w:sz="4" w:space="0"/>
              <w:bottom w:val="single" w:color="000000" w:sz="4" w:space="0"/>
              <w:right w:val="single" w:color="000000" w:sz="4" w:space="0"/>
            </w:tcBorders>
            <w:noWrap/>
            <w:vAlign w:val="center"/>
          </w:tcPr>
          <w:p w14:paraId="7E7E9400">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宁夏菊花台庄园枸杞种植有限公司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宁夏盛坤健康产业发展有限公司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宁夏瑞加祥肉食品有限公司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宁夏荣华牧业控股有限公司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宁夏泰昆荣华饲料有限责任公司</w:t>
            </w:r>
            <w:r>
              <w:rPr>
                <w:rFonts w:ascii="仿宋_GB2312" w:hAnsi="方正兰亭黑_GBK" w:eastAsia="仿宋_GB2312" w:cs="仿宋_GB2312"/>
                <w:color w:val="000000"/>
                <w:kern w:val="0"/>
                <w:sz w:val="22"/>
                <w:szCs w:val="22"/>
              </w:rPr>
              <w:br w:type="textWrapping"/>
            </w:r>
            <w:r>
              <w:rPr>
                <w:rFonts w:ascii="仿宋_GB2312" w:hAnsi="方正兰亭黑_GBK" w:eastAsia="仿宋_GB2312" w:cs="仿宋_GB2312"/>
                <w:color w:val="000000"/>
                <w:kern w:val="0"/>
                <w:sz w:val="22"/>
                <w:szCs w:val="22"/>
              </w:rPr>
              <w:t>宁夏五谷丰电子商务服务有限公司</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65C3B586">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9658FE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农业农村局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9BA491C">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对农产品的生产销售的资质进行核查，对农产品质量安全、生产档案等情况进行监督检查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CD574FA">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《中华人民共和国农产品质量安全法》第五十二条、第五十三条</w:t>
            </w:r>
          </w:p>
        </w:tc>
      </w:tr>
      <w:tr w14:paraId="510EC125">
        <w:tblPrEx>
          <w:tblCellMar>
            <w:top w:w="0" w:type="dxa"/>
            <w:left w:w="108" w:type="dxa"/>
            <w:bottom w:w="0" w:type="dxa"/>
            <w:right w:w="108" w:type="dxa"/>
          </w:tblCellMar>
        </w:tblPrEx>
        <w:trPr>
          <w:trHeight w:val="100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AC62CDB"/>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1F06A49"/>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6171C6FC"/>
        </w:tc>
        <w:tc>
          <w:tcPr>
            <w:tcW w:w="477" w:type="dxa"/>
            <w:vMerge w:val="restart"/>
            <w:tcBorders>
              <w:top w:val="single" w:color="000000" w:sz="4" w:space="0"/>
              <w:left w:val="single" w:color="000000" w:sz="4" w:space="0"/>
              <w:bottom w:val="single" w:color="000000" w:sz="4" w:space="0"/>
              <w:right w:val="single" w:color="000000" w:sz="4" w:space="0"/>
            </w:tcBorders>
            <w:noWrap/>
            <w:vAlign w:val="center"/>
          </w:tcPr>
          <w:p w14:paraId="57B55A84">
            <w:pPr>
              <w:widowControl/>
              <w:spacing w:line="240" w:lineRule="exact"/>
              <w:jc w:val="center"/>
              <w:textAlignment w:val="center"/>
              <w:rPr>
                <w:rFonts w:hint="eastAsia" w:ascii="仿宋_GB2312" w:hAnsi="方正兰亭黑_GBK" w:eastAsia="仿宋_GB2312" w:cs="仿宋_GB2312"/>
                <w:b/>
                <w:bCs/>
                <w:color w:val="000000"/>
                <w:sz w:val="22"/>
                <w:szCs w:val="22"/>
              </w:rPr>
            </w:pPr>
            <w:r>
              <w:rPr>
                <w:rFonts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17A9EED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187842E">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检查企业水、固体废物等的排放和污染防治情况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C42FCB2">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《中华人民共和国水污染防治法》第三十条；《中华人民共和国固体废物污染环境防治法》第九条、第二十六条</w:t>
            </w:r>
          </w:p>
        </w:tc>
      </w:tr>
      <w:tr w14:paraId="5859EA96">
        <w:tblPrEx>
          <w:tblCellMar>
            <w:top w:w="0" w:type="dxa"/>
            <w:left w:w="108" w:type="dxa"/>
            <w:bottom w:w="0" w:type="dxa"/>
            <w:right w:w="108" w:type="dxa"/>
          </w:tblCellMar>
        </w:tblPrEx>
        <w:trPr>
          <w:trHeight w:val="1317"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185BE999"/>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3A21B76C"/>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DD8A0C9"/>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4AE8001"/>
        </w:tc>
        <w:tc>
          <w:tcPr>
            <w:tcW w:w="900" w:type="dxa"/>
            <w:tcBorders>
              <w:top w:val="single" w:color="000000" w:sz="4" w:space="0"/>
              <w:left w:val="single" w:color="000000" w:sz="4" w:space="0"/>
              <w:bottom w:val="single" w:color="000000" w:sz="4" w:space="0"/>
              <w:right w:val="single" w:color="000000" w:sz="4" w:space="0"/>
            </w:tcBorders>
            <w:noWrap/>
            <w:vAlign w:val="center"/>
          </w:tcPr>
          <w:p w14:paraId="52F206D4">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发改局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268F021C">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对粮食经营者从事粮食收购、储存、运输活动和政策性粮食的购销活动，及执行国家粮食流通统计制度的情况进行监督检查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AF11298">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《粮食流通管理条例》第三十八条</w:t>
            </w:r>
          </w:p>
        </w:tc>
      </w:tr>
      <w:tr w14:paraId="11E891BF">
        <w:tblPrEx>
          <w:tblCellMar>
            <w:top w:w="0" w:type="dxa"/>
            <w:left w:w="108" w:type="dxa"/>
            <w:bottom w:w="0" w:type="dxa"/>
            <w:right w:w="108" w:type="dxa"/>
          </w:tblCellMar>
        </w:tblPrEx>
        <w:trPr>
          <w:trHeight w:val="1075"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DC155EA"/>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2385C3C1"/>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350CC0A3"/>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04F23EE"/>
        </w:tc>
        <w:tc>
          <w:tcPr>
            <w:tcW w:w="900" w:type="dxa"/>
            <w:tcBorders>
              <w:top w:val="single" w:color="000000" w:sz="4" w:space="0"/>
              <w:left w:val="single" w:color="000000" w:sz="4" w:space="0"/>
              <w:bottom w:val="single" w:color="000000" w:sz="4" w:space="0"/>
              <w:right w:val="single" w:color="000000" w:sz="4" w:space="0"/>
            </w:tcBorders>
            <w:noWrap/>
            <w:vAlign w:val="center"/>
          </w:tcPr>
          <w:p w14:paraId="0F54BA42">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应急管理局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2A3D03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对生产经营单位事故隐患排查、安全培训及特种作业人员持证上岗等情况进行检查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B00E10D">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《安全生产事故隐患排查治理暂行规定》第二十条；《生产经营单位安全培训规定》第二十六条</w:t>
            </w:r>
          </w:p>
        </w:tc>
      </w:tr>
      <w:tr w14:paraId="2AE07118">
        <w:tblPrEx>
          <w:tblCellMar>
            <w:top w:w="0" w:type="dxa"/>
            <w:left w:w="108" w:type="dxa"/>
            <w:bottom w:w="0" w:type="dxa"/>
            <w:right w:w="108" w:type="dxa"/>
          </w:tblCellMar>
        </w:tblPrEx>
        <w:trPr>
          <w:trHeight w:val="1212"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0DCB6C3F"/>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173A6A6C"/>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097C66D2"/>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3349442C"/>
        </w:tc>
        <w:tc>
          <w:tcPr>
            <w:tcW w:w="900" w:type="dxa"/>
            <w:tcBorders>
              <w:top w:val="single" w:color="000000" w:sz="4" w:space="0"/>
              <w:left w:val="single" w:color="000000" w:sz="4" w:space="0"/>
              <w:bottom w:val="single" w:color="000000" w:sz="4" w:space="0"/>
              <w:right w:val="single" w:color="000000" w:sz="4" w:space="0"/>
            </w:tcBorders>
            <w:noWrap/>
            <w:vAlign w:val="center"/>
          </w:tcPr>
          <w:p w14:paraId="171E60CF">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F2D5013">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C05989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0A28024E">
        <w:tblPrEx>
          <w:tblCellMar>
            <w:top w:w="0" w:type="dxa"/>
            <w:left w:w="108" w:type="dxa"/>
            <w:bottom w:w="0" w:type="dxa"/>
            <w:right w:w="108" w:type="dxa"/>
          </w:tblCellMar>
        </w:tblPrEx>
        <w:trPr>
          <w:trHeight w:val="1092"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7BCCCC5A"/>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09F16D1"/>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434D9780"/>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1C5E3184"/>
        </w:tc>
        <w:tc>
          <w:tcPr>
            <w:tcW w:w="900" w:type="dxa"/>
            <w:tcBorders>
              <w:top w:val="single" w:color="000000" w:sz="4" w:space="0"/>
              <w:left w:val="single" w:color="000000" w:sz="4" w:space="0"/>
              <w:bottom w:val="single" w:color="000000" w:sz="4" w:space="0"/>
              <w:right w:val="single" w:color="000000" w:sz="4" w:space="0"/>
            </w:tcBorders>
            <w:noWrap/>
            <w:vAlign w:val="center"/>
          </w:tcPr>
          <w:p w14:paraId="7F4631C6">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A90D1E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303B550A">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《中华人民共和国劳动合同法》第七十三条、第七十四条；《中华人民共和国社会保险法》第七十七条、第七十九条；《宁夏回族自治区劳动保障监察条例》第八条</w:t>
            </w:r>
          </w:p>
        </w:tc>
      </w:tr>
      <w:tr w14:paraId="4AFC8FD2">
        <w:tblPrEx>
          <w:tblCellMar>
            <w:top w:w="0" w:type="dxa"/>
            <w:left w:w="108" w:type="dxa"/>
            <w:bottom w:w="0" w:type="dxa"/>
            <w:right w:w="108" w:type="dxa"/>
          </w:tblCellMar>
        </w:tblPrEx>
        <w:trPr>
          <w:trHeight w:val="1350" w:hRule="atLeast"/>
        </w:trPr>
        <w:tc>
          <w:tcPr>
            <w:tcW w:w="442" w:type="dxa"/>
            <w:vMerge w:val="continue"/>
            <w:tcBorders>
              <w:top w:val="single" w:color="000000" w:sz="4" w:space="0"/>
              <w:left w:val="single" w:color="000000" w:sz="4" w:space="0"/>
              <w:bottom w:val="single" w:color="000000" w:sz="4" w:space="0"/>
              <w:right w:val="single" w:color="000000" w:sz="4" w:space="0"/>
            </w:tcBorders>
            <w:noWrap/>
            <w:vAlign w:val="center"/>
          </w:tcPr>
          <w:p w14:paraId="3AF1AF1E"/>
        </w:tc>
        <w:tc>
          <w:tcPr>
            <w:tcW w:w="1135" w:type="dxa"/>
            <w:vMerge w:val="continue"/>
            <w:tcBorders>
              <w:top w:val="single" w:color="000000" w:sz="4" w:space="0"/>
              <w:left w:val="single" w:color="000000" w:sz="4" w:space="0"/>
              <w:bottom w:val="single" w:color="000000" w:sz="4" w:space="0"/>
              <w:right w:val="single" w:color="000000" w:sz="4" w:space="0"/>
            </w:tcBorders>
            <w:noWrap/>
            <w:vAlign w:val="center"/>
          </w:tcPr>
          <w:p w14:paraId="7C5BE956"/>
        </w:tc>
        <w:tc>
          <w:tcPr>
            <w:tcW w:w="3182" w:type="dxa"/>
            <w:vMerge w:val="continue"/>
            <w:tcBorders>
              <w:top w:val="single" w:color="000000" w:sz="4" w:space="0"/>
              <w:left w:val="single" w:color="000000" w:sz="4" w:space="0"/>
              <w:bottom w:val="single" w:color="000000" w:sz="4" w:space="0"/>
              <w:right w:val="single" w:color="000000" w:sz="4" w:space="0"/>
            </w:tcBorders>
            <w:noWrap/>
            <w:vAlign w:val="center"/>
          </w:tcPr>
          <w:p w14:paraId="5E4EAC96"/>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7011F0B"/>
        </w:tc>
        <w:tc>
          <w:tcPr>
            <w:tcW w:w="900" w:type="dxa"/>
            <w:tcBorders>
              <w:top w:val="single" w:color="000000" w:sz="4" w:space="0"/>
              <w:left w:val="single" w:color="000000" w:sz="4" w:space="0"/>
              <w:bottom w:val="single" w:color="000000" w:sz="4" w:space="0"/>
              <w:right w:val="single" w:color="000000" w:sz="4" w:space="0"/>
            </w:tcBorders>
            <w:noWrap/>
            <w:vAlign w:val="center"/>
          </w:tcPr>
          <w:p w14:paraId="0B5F444D">
            <w:pPr>
              <w:widowControl/>
              <w:spacing w:line="240" w:lineRule="exact"/>
              <w:jc w:val="center"/>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0C07A056">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对企业使用的特种设备进行监督检查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1143214">
            <w:pPr>
              <w:widowControl/>
              <w:spacing w:line="240" w:lineRule="exact"/>
              <w:jc w:val="left"/>
              <w:textAlignment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w:t>
            </w:r>
          </w:p>
        </w:tc>
      </w:tr>
      <w:tr w14:paraId="6C3CE1D4">
        <w:tblPrEx>
          <w:tblCellMar>
            <w:top w:w="0" w:type="dxa"/>
            <w:left w:w="108" w:type="dxa"/>
            <w:bottom w:w="0" w:type="dxa"/>
            <w:right w:w="108" w:type="dxa"/>
          </w:tblCellMar>
        </w:tblPrEx>
        <w:trPr>
          <w:trHeight w:val="1888" w:hRule="atLeast"/>
        </w:trPr>
        <w:tc>
          <w:tcPr>
            <w:tcW w:w="442" w:type="dxa"/>
            <w:vMerge w:val="restart"/>
            <w:tcBorders>
              <w:top w:val="single" w:color="000000" w:sz="4" w:space="0"/>
              <w:left w:val="single" w:color="000000" w:sz="4" w:space="0"/>
              <w:right w:val="single" w:color="000000" w:sz="4" w:space="0"/>
            </w:tcBorders>
            <w:noWrap/>
            <w:vAlign w:val="center"/>
          </w:tcPr>
          <w:p w14:paraId="1EAD4B2B">
            <w:pPr>
              <w:widowControl/>
              <w:spacing w:line="240" w:lineRule="exact"/>
              <w:jc w:val="center"/>
              <w:rPr>
                <w:rFonts w:hint="eastAsia" w:ascii="仿宋_GB2312" w:hAnsi="方正兰亭黑_GBK" w:eastAsia="仿宋_GB2312" w:cs="仿宋_GB2312"/>
                <w:color w:val="000000"/>
                <w:sz w:val="22"/>
                <w:szCs w:val="22"/>
              </w:rPr>
            </w:pPr>
            <w:r>
              <w:rPr>
                <w:rFonts w:hint="eastAsia" w:ascii="仿宋_GB2312" w:hAnsi="方正兰亭黑_GBK" w:eastAsia="仿宋_GB2312" w:cs="仿宋_GB2312"/>
                <w:color w:val="000000"/>
                <w:sz w:val="22"/>
                <w:szCs w:val="22"/>
              </w:rPr>
              <w:t>7</w:t>
            </w:r>
          </w:p>
        </w:tc>
        <w:tc>
          <w:tcPr>
            <w:tcW w:w="1135" w:type="dxa"/>
            <w:vMerge w:val="restart"/>
            <w:tcBorders>
              <w:top w:val="single" w:color="000000" w:sz="4" w:space="0"/>
              <w:left w:val="single" w:color="000000" w:sz="4" w:space="0"/>
              <w:right w:val="single" w:color="000000" w:sz="4" w:space="0"/>
            </w:tcBorders>
            <w:noWrap/>
            <w:vAlign w:val="center"/>
          </w:tcPr>
          <w:p w14:paraId="65201DDD">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工贸类（40家）</w:t>
            </w:r>
          </w:p>
        </w:tc>
        <w:tc>
          <w:tcPr>
            <w:tcW w:w="3182" w:type="dxa"/>
            <w:vMerge w:val="restart"/>
            <w:tcBorders>
              <w:top w:val="single" w:color="000000" w:sz="4" w:space="0"/>
              <w:left w:val="single" w:color="000000" w:sz="4" w:space="0"/>
              <w:right w:val="single" w:color="000000" w:sz="4" w:space="0"/>
            </w:tcBorders>
            <w:noWrap/>
            <w:vAlign w:val="center"/>
          </w:tcPr>
          <w:p w14:paraId="38F5C68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宁夏大斌家纺科技有限公司</w:t>
            </w:r>
          </w:p>
          <w:p w14:paraId="52998E72">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中核(宁夏)同心防护科技有限公司</w:t>
            </w:r>
          </w:p>
          <w:p w14:paraId="78F7BAD7">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宁夏杰翔工贸有限公司</w:t>
            </w:r>
          </w:p>
          <w:p w14:paraId="71C3680C">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吴忠市宝骋工贸有限公司</w:t>
            </w:r>
          </w:p>
          <w:p w14:paraId="4BA50D7D">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宁夏五创矿业有限公司</w:t>
            </w:r>
          </w:p>
          <w:p w14:paraId="32474217">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吴忠市太阳山华伊工贸有限公司</w:t>
            </w:r>
          </w:p>
          <w:p w14:paraId="3B433EAE">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宁夏源合美建材有限公司</w:t>
            </w:r>
          </w:p>
          <w:p w14:paraId="2C1827BE">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弘道新材料科技（宁夏）有限公司</w:t>
            </w:r>
          </w:p>
          <w:p w14:paraId="68E5BFA5">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宁夏羊博士皮草科技有限公司</w:t>
            </w:r>
          </w:p>
          <w:p w14:paraId="56485DCD">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军翔绒毛制品有限责任公司</w:t>
            </w:r>
          </w:p>
          <w:p w14:paraId="51F178E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宁夏同心祥福绒毛制品有限公司</w:t>
            </w:r>
          </w:p>
          <w:p w14:paraId="0EB2745B">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同心县鑫源绒业有限责任公司</w:t>
            </w:r>
          </w:p>
          <w:p w14:paraId="0BB25055">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同心县金昌绒毛制品有限公司</w:t>
            </w:r>
          </w:p>
          <w:p w14:paraId="10D171FB">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宁夏伊兴羊绒制品有限公司</w:t>
            </w:r>
          </w:p>
          <w:p w14:paraId="7041E75A">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宁夏瑞祥龙皮草科技有限公司</w:t>
            </w:r>
          </w:p>
          <w:p w14:paraId="120F8DA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宁夏同心山泰钢结构有限公司</w:t>
            </w:r>
          </w:p>
          <w:p w14:paraId="31346B3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上能电气（宁夏）有限公司</w:t>
            </w:r>
          </w:p>
          <w:p w14:paraId="56D5EF2C">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 xml:space="preserve">英利新能源（宁夏）有限公司 </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2ED06F94">
            <w:pPr>
              <w:widowControl/>
              <w:spacing w:line="240" w:lineRule="exact"/>
              <w:jc w:val="center"/>
              <w:textAlignment w:val="center"/>
              <w:rPr>
                <w:rFonts w:hint="eastAsia" w:ascii="仿宋_GB2312" w:hAnsi="方正兰亭黑_GBK" w:eastAsia="仿宋_GB2312" w:cs="仿宋_GB2312"/>
                <w:b/>
                <w:bCs/>
                <w:color w:val="000000"/>
                <w:kern w:val="0"/>
                <w:sz w:val="22"/>
                <w:szCs w:val="22"/>
              </w:rPr>
            </w:pPr>
            <w:r>
              <w:rPr>
                <w:rFonts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4077264">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应急管理局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C2B5F64">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对执行有关安全生产的法律、法规和国家标准或者行业标准的情况的监督检查；对安全培训及特种作业人员持证上岗情况的检查；对安全生产事故应急预案制定情况和事故隐患排查治理情况的检查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4F5F731">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《中华人民共和国安全生产法》第六十五条；《生产经营单位安全培训规定》第二十六条；《安全生产事故隐患排查治理暂行规定》第二十条</w:t>
            </w:r>
          </w:p>
        </w:tc>
      </w:tr>
      <w:tr w14:paraId="362D39F5">
        <w:tblPrEx>
          <w:tblCellMar>
            <w:top w:w="0" w:type="dxa"/>
            <w:left w:w="108" w:type="dxa"/>
            <w:bottom w:w="0" w:type="dxa"/>
            <w:right w:w="108" w:type="dxa"/>
          </w:tblCellMar>
        </w:tblPrEx>
        <w:trPr>
          <w:trHeight w:val="1594" w:hRule="atLeast"/>
        </w:trPr>
        <w:tc>
          <w:tcPr>
            <w:tcW w:w="442" w:type="dxa"/>
            <w:vMerge w:val="continue"/>
            <w:tcBorders>
              <w:left w:val="single" w:color="000000" w:sz="4" w:space="0"/>
              <w:right w:val="single" w:color="000000" w:sz="4" w:space="0"/>
            </w:tcBorders>
            <w:noWrap/>
            <w:vAlign w:val="center"/>
          </w:tcPr>
          <w:p w14:paraId="11E78674"/>
        </w:tc>
        <w:tc>
          <w:tcPr>
            <w:tcW w:w="1135" w:type="dxa"/>
            <w:vMerge w:val="continue"/>
            <w:tcBorders>
              <w:left w:val="single" w:color="000000" w:sz="4" w:space="0"/>
              <w:right w:val="single" w:color="000000" w:sz="4" w:space="0"/>
            </w:tcBorders>
            <w:noWrap/>
            <w:vAlign w:val="center"/>
          </w:tcPr>
          <w:p w14:paraId="3C68A07E"/>
        </w:tc>
        <w:tc>
          <w:tcPr>
            <w:tcW w:w="3182" w:type="dxa"/>
            <w:vMerge w:val="continue"/>
            <w:tcBorders>
              <w:left w:val="single" w:color="000000" w:sz="4" w:space="0"/>
              <w:right w:val="single" w:color="000000" w:sz="4" w:space="0"/>
            </w:tcBorders>
            <w:noWrap/>
            <w:vAlign w:val="center"/>
          </w:tcPr>
          <w:p w14:paraId="01B46A82"/>
        </w:tc>
        <w:tc>
          <w:tcPr>
            <w:tcW w:w="477" w:type="dxa"/>
            <w:vMerge w:val="restart"/>
            <w:tcBorders>
              <w:top w:val="single" w:color="000000" w:sz="4" w:space="0"/>
              <w:left w:val="single" w:color="000000" w:sz="4" w:space="0"/>
              <w:right w:val="single" w:color="000000" w:sz="4" w:space="0"/>
            </w:tcBorders>
            <w:noWrap/>
            <w:vAlign w:val="center"/>
          </w:tcPr>
          <w:p w14:paraId="7B422B35">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hint="eastAsia"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35FB89D">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7DA36D41">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5605535E">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642B81CF">
        <w:tblPrEx>
          <w:tblCellMar>
            <w:top w:w="0" w:type="dxa"/>
            <w:left w:w="108" w:type="dxa"/>
            <w:bottom w:w="0" w:type="dxa"/>
            <w:right w:w="108" w:type="dxa"/>
          </w:tblCellMar>
        </w:tblPrEx>
        <w:trPr>
          <w:trHeight w:val="1992" w:hRule="atLeast"/>
        </w:trPr>
        <w:tc>
          <w:tcPr>
            <w:tcW w:w="442" w:type="dxa"/>
            <w:vMerge w:val="continue"/>
            <w:tcBorders>
              <w:left w:val="single" w:color="000000" w:sz="4" w:space="0"/>
              <w:right w:val="single" w:color="000000" w:sz="4" w:space="0"/>
            </w:tcBorders>
            <w:noWrap/>
            <w:vAlign w:val="center"/>
          </w:tcPr>
          <w:p w14:paraId="7B43E7B2"/>
        </w:tc>
        <w:tc>
          <w:tcPr>
            <w:tcW w:w="1135" w:type="dxa"/>
            <w:vMerge w:val="continue"/>
            <w:tcBorders>
              <w:left w:val="single" w:color="000000" w:sz="4" w:space="0"/>
              <w:right w:val="single" w:color="000000" w:sz="4" w:space="0"/>
            </w:tcBorders>
            <w:noWrap/>
            <w:vAlign w:val="center"/>
          </w:tcPr>
          <w:p w14:paraId="69962563"/>
        </w:tc>
        <w:tc>
          <w:tcPr>
            <w:tcW w:w="3182" w:type="dxa"/>
            <w:vMerge w:val="continue"/>
            <w:tcBorders>
              <w:left w:val="single" w:color="000000" w:sz="4" w:space="0"/>
              <w:right w:val="single" w:color="000000" w:sz="4" w:space="0"/>
            </w:tcBorders>
            <w:noWrap/>
            <w:vAlign w:val="center"/>
          </w:tcPr>
          <w:p w14:paraId="64944455"/>
        </w:tc>
        <w:tc>
          <w:tcPr>
            <w:tcW w:w="477" w:type="dxa"/>
            <w:vMerge w:val="continue"/>
            <w:tcBorders>
              <w:left w:val="single" w:color="000000" w:sz="4" w:space="0"/>
              <w:right w:val="single" w:color="000000" w:sz="4" w:space="0"/>
            </w:tcBorders>
            <w:noWrap/>
            <w:vAlign w:val="center"/>
          </w:tcPr>
          <w:p w14:paraId="413D8FBD"/>
        </w:tc>
        <w:tc>
          <w:tcPr>
            <w:tcW w:w="900" w:type="dxa"/>
            <w:tcBorders>
              <w:top w:val="single" w:color="000000" w:sz="4" w:space="0"/>
              <w:left w:val="single" w:color="000000" w:sz="4" w:space="0"/>
              <w:bottom w:val="single" w:color="000000" w:sz="4" w:space="0"/>
              <w:right w:val="single" w:color="000000" w:sz="4" w:space="0"/>
            </w:tcBorders>
            <w:noWrap/>
            <w:vAlign w:val="center"/>
          </w:tcPr>
          <w:p w14:paraId="2A6F60CF">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生态环境分局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3DC257F">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对三同时制度落实情况、污染防治措施运行情况的检查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CFD553F">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《建设项目环境保护管理条例》第十五条、第二十条；《建设项目环境影响后评价管理办法（试行）》第六条；《中华人民共和国环境污染法》第二十四条、第四十一条</w:t>
            </w:r>
          </w:p>
        </w:tc>
      </w:tr>
      <w:tr w14:paraId="2DEA0688">
        <w:tblPrEx>
          <w:tblCellMar>
            <w:top w:w="0" w:type="dxa"/>
            <w:left w:w="108" w:type="dxa"/>
            <w:bottom w:w="0" w:type="dxa"/>
            <w:right w:w="108" w:type="dxa"/>
          </w:tblCellMar>
        </w:tblPrEx>
        <w:trPr>
          <w:trHeight w:val="1403" w:hRule="atLeast"/>
        </w:trPr>
        <w:tc>
          <w:tcPr>
            <w:tcW w:w="442" w:type="dxa"/>
            <w:vMerge w:val="continue"/>
            <w:tcBorders>
              <w:left w:val="single" w:color="000000" w:sz="4" w:space="0"/>
              <w:right w:val="single" w:color="000000" w:sz="4" w:space="0"/>
            </w:tcBorders>
            <w:noWrap/>
            <w:vAlign w:val="center"/>
          </w:tcPr>
          <w:p w14:paraId="15CD7C36"/>
        </w:tc>
        <w:tc>
          <w:tcPr>
            <w:tcW w:w="1135" w:type="dxa"/>
            <w:vMerge w:val="continue"/>
            <w:tcBorders>
              <w:left w:val="single" w:color="000000" w:sz="4" w:space="0"/>
              <w:right w:val="single" w:color="000000" w:sz="4" w:space="0"/>
            </w:tcBorders>
            <w:noWrap/>
            <w:vAlign w:val="center"/>
          </w:tcPr>
          <w:p w14:paraId="3C66491F"/>
        </w:tc>
        <w:tc>
          <w:tcPr>
            <w:tcW w:w="3182" w:type="dxa"/>
            <w:vMerge w:val="continue"/>
            <w:tcBorders>
              <w:left w:val="single" w:color="000000" w:sz="4" w:space="0"/>
              <w:right w:val="single" w:color="000000" w:sz="4" w:space="0"/>
            </w:tcBorders>
            <w:noWrap/>
            <w:vAlign w:val="center"/>
          </w:tcPr>
          <w:p w14:paraId="14ACEF38"/>
        </w:tc>
        <w:tc>
          <w:tcPr>
            <w:tcW w:w="477" w:type="dxa"/>
            <w:vMerge w:val="continue"/>
            <w:tcBorders>
              <w:left w:val="single" w:color="000000" w:sz="4" w:space="0"/>
              <w:right w:val="single" w:color="000000" w:sz="4" w:space="0"/>
            </w:tcBorders>
            <w:noWrap/>
            <w:vAlign w:val="center"/>
          </w:tcPr>
          <w:p w14:paraId="729D9A70"/>
        </w:tc>
        <w:tc>
          <w:tcPr>
            <w:tcW w:w="900" w:type="dxa"/>
            <w:tcBorders>
              <w:top w:val="single" w:color="000000" w:sz="4" w:space="0"/>
              <w:left w:val="single" w:color="000000" w:sz="4" w:space="0"/>
              <w:bottom w:val="single" w:color="000000" w:sz="4" w:space="0"/>
              <w:right w:val="single" w:color="000000" w:sz="4" w:space="0"/>
            </w:tcBorders>
            <w:noWrap/>
            <w:vAlign w:val="center"/>
          </w:tcPr>
          <w:p w14:paraId="7A8417A9">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水务局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7311604">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检查水土保持方案落实情况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50474D6C">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r w14:paraId="5D39326C">
        <w:tblPrEx>
          <w:tblCellMar>
            <w:top w:w="0" w:type="dxa"/>
            <w:left w:w="108" w:type="dxa"/>
            <w:bottom w:w="0" w:type="dxa"/>
            <w:right w:w="108" w:type="dxa"/>
          </w:tblCellMar>
        </w:tblPrEx>
        <w:trPr>
          <w:trHeight w:val="1232" w:hRule="atLeast"/>
        </w:trPr>
        <w:tc>
          <w:tcPr>
            <w:tcW w:w="442" w:type="dxa"/>
            <w:vMerge w:val="continue"/>
            <w:tcBorders>
              <w:left w:val="single" w:color="000000" w:sz="4" w:space="0"/>
              <w:bottom w:val="single" w:color="000000" w:sz="4" w:space="0"/>
              <w:right w:val="single" w:color="000000" w:sz="4" w:space="0"/>
            </w:tcBorders>
            <w:noWrap/>
            <w:vAlign w:val="center"/>
          </w:tcPr>
          <w:p w14:paraId="01463DF6"/>
        </w:tc>
        <w:tc>
          <w:tcPr>
            <w:tcW w:w="1135" w:type="dxa"/>
            <w:vMerge w:val="continue"/>
            <w:tcBorders>
              <w:left w:val="single" w:color="000000" w:sz="4" w:space="0"/>
              <w:bottom w:val="single" w:color="000000" w:sz="4" w:space="0"/>
              <w:right w:val="single" w:color="000000" w:sz="4" w:space="0"/>
            </w:tcBorders>
            <w:noWrap/>
            <w:vAlign w:val="center"/>
          </w:tcPr>
          <w:p w14:paraId="2C9A035F"/>
        </w:tc>
        <w:tc>
          <w:tcPr>
            <w:tcW w:w="3182" w:type="dxa"/>
            <w:vMerge w:val="continue"/>
            <w:tcBorders>
              <w:left w:val="single" w:color="000000" w:sz="4" w:space="0"/>
              <w:bottom w:val="single" w:color="000000" w:sz="4" w:space="0"/>
              <w:right w:val="single" w:color="000000" w:sz="4" w:space="0"/>
            </w:tcBorders>
            <w:noWrap/>
            <w:vAlign w:val="center"/>
          </w:tcPr>
          <w:p w14:paraId="30E3B312"/>
        </w:tc>
        <w:tc>
          <w:tcPr>
            <w:tcW w:w="477" w:type="dxa"/>
            <w:vMerge w:val="continue"/>
            <w:tcBorders>
              <w:left w:val="single" w:color="000000" w:sz="4" w:space="0"/>
              <w:bottom w:val="single" w:color="000000" w:sz="4" w:space="0"/>
              <w:right w:val="single" w:color="000000" w:sz="4" w:space="0"/>
            </w:tcBorders>
            <w:noWrap/>
            <w:vAlign w:val="center"/>
          </w:tcPr>
          <w:p w14:paraId="3C66271B"/>
        </w:tc>
        <w:tc>
          <w:tcPr>
            <w:tcW w:w="900" w:type="dxa"/>
            <w:tcBorders>
              <w:top w:val="single" w:color="000000" w:sz="4" w:space="0"/>
              <w:left w:val="single" w:color="000000" w:sz="4" w:space="0"/>
              <w:bottom w:val="single" w:color="000000" w:sz="4" w:space="0"/>
              <w:right w:val="single" w:color="000000" w:sz="4" w:space="0"/>
            </w:tcBorders>
            <w:noWrap/>
            <w:vAlign w:val="center"/>
          </w:tcPr>
          <w:p w14:paraId="3164B6D2">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卫生健康局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C35E363">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职业病危害因素防控与职业病防治</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368AEB0">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《中华人民共和国职业病防治法》第六十二条、第六十三条、第六十四条</w:t>
            </w:r>
          </w:p>
        </w:tc>
      </w:tr>
      <w:tr w14:paraId="33E0019D">
        <w:tblPrEx>
          <w:tblCellMar>
            <w:top w:w="0" w:type="dxa"/>
            <w:left w:w="108" w:type="dxa"/>
            <w:bottom w:w="0" w:type="dxa"/>
            <w:right w:w="108" w:type="dxa"/>
          </w:tblCellMar>
        </w:tblPrEx>
        <w:trPr>
          <w:trHeight w:val="2292" w:hRule="atLeast"/>
        </w:trPr>
        <w:tc>
          <w:tcPr>
            <w:tcW w:w="442" w:type="dxa"/>
            <w:vMerge w:val="restart"/>
            <w:tcBorders>
              <w:top w:val="single" w:color="000000" w:sz="4" w:space="0"/>
              <w:left w:val="single" w:color="000000" w:sz="4" w:space="0"/>
              <w:right w:val="single" w:color="000000" w:sz="4" w:space="0"/>
            </w:tcBorders>
            <w:noWrap/>
            <w:vAlign w:val="center"/>
          </w:tcPr>
          <w:p w14:paraId="30836B76">
            <w:pPr>
              <w:widowControl/>
              <w:spacing w:line="240" w:lineRule="exact"/>
              <w:jc w:val="center"/>
              <w:rPr>
                <w:rFonts w:hint="eastAsia" w:ascii="仿宋_GB2312" w:hAnsi="方正兰亭黑_GBK" w:eastAsia="仿宋_GB2312" w:cs="仿宋_GB2312"/>
                <w:color w:val="000000"/>
                <w:sz w:val="22"/>
                <w:szCs w:val="22"/>
              </w:rPr>
            </w:pPr>
            <w:r>
              <w:rPr>
                <w:rFonts w:hint="eastAsia" w:ascii="仿宋_GB2312" w:hAnsi="方正兰亭黑_GBK" w:eastAsia="仿宋_GB2312" w:cs="仿宋_GB2312"/>
                <w:color w:val="000000"/>
                <w:sz w:val="22"/>
                <w:szCs w:val="22"/>
              </w:rPr>
              <w:t>7</w:t>
            </w:r>
          </w:p>
        </w:tc>
        <w:tc>
          <w:tcPr>
            <w:tcW w:w="1135" w:type="dxa"/>
            <w:vMerge w:val="restart"/>
            <w:tcBorders>
              <w:top w:val="single" w:color="000000" w:sz="4" w:space="0"/>
              <w:left w:val="single" w:color="000000" w:sz="4" w:space="0"/>
              <w:right w:val="single" w:color="000000" w:sz="4" w:space="0"/>
            </w:tcBorders>
            <w:noWrap/>
            <w:vAlign w:val="center"/>
          </w:tcPr>
          <w:p w14:paraId="44A1BC3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工贸类（40家）</w:t>
            </w:r>
          </w:p>
        </w:tc>
        <w:tc>
          <w:tcPr>
            <w:tcW w:w="3182" w:type="dxa"/>
            <w:vMerge w:val="restart"/>
            <w:tcBorders>
              <w:top w:val="single" w:color="000000" w:sz="4" w:space="0"/>
              <w:left w:val="single" w:color="000000" w:sz="4" w:space="0"/>
              <w:right w:val="single" w:color="000000" w:sz="4" w:space="0"/>
            </w:tcBorders>
            <w:noWrap/>
            <w:vAlign w:val="center"/>
          </w:tcPr>
          <w:p w14:paraId="571A667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宁夏光翔众一新能源有限公司</w:t>
            </w:r>
          </w:p>
          <w:p w14:paraId="1782A4D7">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宁夏禾望科技有限公司</w:t>
            </w:r>
          </w:p>
          <w:p w14:paraId="4DDC4550">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华储飞轮（宁夏）科技有限公司</w:t>
            </w:r>
          </w:p>
          <w:p w14:paraId="1F51545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宁夏同心县元波纺织品有限公司</w:t>
            </w:r>
          </w:p>
          <w:p w14:paraId="4C14B8DA">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宁夏益德馨服饰有限公司</w:t>
            </w:r>
          </w:p>
          <w:p w14:paraId="7E8991B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宁夏紫涵源毛纺有限公司</w:t>
            </w:r>
          </w:p>
          <w:p w14:paraId="7BE0783E">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宁夏帕罗羊绒制品有限公司</w:t>
            </w:r>
          </w:p>
          <w:p w14:paraId="4CFA27E0">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宁夏同心县生海绒业有限责任公司</w:t>
            </w:r>
          </w:p>
          <w:p w14:paraId="72EB600C">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宁夏双盛光伏线缆有限公司</w:t>
            </w:r>
          </w:p>
          <w:p w14:paraId="027DE420">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宁夏回春生物科技有限公司</w:t>
            </w:r>
          </w:p>
          <w:p w14:paraId="73CE419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宁夏真旺建材有限公司</w:t>
            </w:r>
          </w:p>
          <w:p w14:paraId="0FA246A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吴忠市太阳山伟鹏矿业有限公司</w:t>
            </w:r>
          </w:p>
          <w:p w14:paraId="749A5B4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宁夏鑫财富工贸有限公司（正建）</w:t>
            </w:r>
          </w:p>
          <w:p w14:paraId="7C8CB7C6">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宁夏久兴环保科技有限公司</w:t>
            </w:r>
          </w:p>
          <w:p w14:paraId="3404831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同心县龙兴地膜回收再利用有限公司</w:t>
            </w:r>
          </w:p>
          <w:p w14:paraId="539124F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同心县岩基砼业有限公司</w:t>
            </w:r>
          </w:p>
          <w:p w14:paraId="5D1B63AE">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同心县同德矿业有限责任公司</w:t>
            </w:r>
          </w:p>
          <w:p w14:paraId="1B12EB0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同心县同德钙业有限责任公司</w:t>
            </w:r>
          </w:p>
          <w:p w14:paraId="6F8110F7">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宁夏大华砼业有限公司</w:t>
            </w:r>
          </w:p>
          <w:p w14:paraId="0A56FC4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宁夏同心县玉兴砼业有限公司</w:t>
            </w:r>
          </w:p>
          <w:p w14:paraId="77F23C4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宁夏丰腾智能装备制造有限公司（正建）</w:t>
            </w:r>
          </w:p>
          <w:p w14:paraId="689BF438">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中核热盐（宁夏）科技有限公司</w:t>
            </w:r>
          </w:p>
        </w:tc>
        <w:tc>
          <w:tcPr>
            <w:tcW w:w="477" w:type="dxa"/>
            <w:vMerge w:val="restart"/>
            <w:tcBorders>
              <w:top w:val="single" w:color="000000" w:sz="4" w:space="0"/>
              <w:left w:val="single" w:color="000000" w:sz="4" w:space="0"/>
              <w:right w:val="single" w:color="000000" w:sz="4" w:space="0"/>
            </w:tcBorders>
            <w:noWrap/>
            <w:vAlign w:val="center"/>
          </w:tcPr>
          <w:p w14:paraId="70E29FF3">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hint="eastAsia" w:ascii="仿宋_GB2312" w:hAnsi="方正兰亭黑_GBK" w:eastAsia="仿宋_GB2312" w:cs="仿宋_GB2312"/>
                <w:b/>
                <w:bCs/>
                <w:color w:val="000000"/>
                <w:kern w:val="0"/>
                <w:sz w:val="22"/>
                <w:szCs w:val="22"/>
              </w:rPr>
              <w:t>配合部门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73CF6AF">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市场监管局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487A9D59">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对企业使用的特种设备进行监督检查，对企业员工食堂的食品安全进行监督检查。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5D6438F">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《中华人民共和国特种设备安全法》第五十七条、《特种设备安全监察条例》第五十条、《中华人民共和国食品安全法》第一百一十条</w:t>
            </w:r>
          </w:p>
        </w:tc>
      </w:tr>
      <w:tr w14:paraId="012989C6">
        <w:tblPrEx>
          <w:tblCellMar>
            <w:top w:w="0" w:type="dxa"/>
            <w:left w:w="108" w:type="dxa"/>
            <w:bottom w:w="0" w:type="dxa"/>
            <w:right w:w="108" w:type="dxa"/>
          </w:tblCellMar>
        </w:tblPrEx>
        <w:trPr>
          <w:trHeight w:val="2631" w:hRule="atLeast"/>
        </w:trPr>
        <w:tc>
          <w:tcPr>
            <w:tcW w:w="442" w:type="dxa"/>
            <w:vMerge w:val="continue"/>
            <w:tcBorders>
              <w:left w:val="single" w:color="000000" w:sz="4" w:space="0"/>
              <w:right w:val="single" w:color="000000" w:sz="4" w:space="0"/>
            </w:tcBorders>
            <w:noWrap/>
            <w:vAlign w:val="center"/>
          </w:tcPr>
          <w:p w14:paraId="1C457685"/>
        </w:tc>
        <w:tc>
          <w:tcPr>
            <w:tcW w:w="1135" w:type="dxa"/>
            <w:vMerge w:val="continue"/>
            <w:tcBorders>
              <w:left w:val="single" w:color="000000" w:sz="4" w:space="0"/>
              <w:right w:val="single" w:color="000000" w:sz="4" w:space="0"/>
            </w:tcBorders>
            <w:noWrap/>
            <w:vAlign w:val="center"/>
          </w:tcPr>
          <w:p w14:paraId="0D3513B7"/>
        </w:tc>
        <w:tc>
          <w:tcPr>
            <w:tcW w:w="3182" w:type="dxa"/>
            <w:vMerge w:val="continue"/>
            <w:tcBorders>
              <w:left w:val="single" w:color="000000" w:sz="4" w:space="0"/>
              <w:right w:val="single" w:color="000000" w:sz="4" w:space="0"/>
            </w:tcBorders>
            <w:noWrap/>
            <w:vAlign w:val="center"/>
          </w:tcPr>
          <w:p w14:paraId="7F0BE9D6"/>
        </w:tc>
        <w:tc>
          <w:tcPr>
            <w:tcW w:w="477" w:type="dxa"/>
            <w:vMerge w:val="continue"/>
            <w:tcBorders>
              <w:left w:val="single" w:color="000000" w:sz="4" w:space="0"/>
              <w:right w:val="single" w:color="000000" w:sz="4" w:space="0"/>
            </w:tcBorders>
            <w:noWrap/>
            <w:vAlign w:val="center"/>
          </w:tcPr>
          <w:p w14:paraId="76626CAD"/>
        </w:tc>
        <w:tc>
          <w:tcPr>
            <w:tcW w:w="900" w:type="dxa"/>
            <w:tcBorders>
              <w:top w:val="single" w:color="000000" w:sz="4" w:space="0"/>
              <w:left w:val="single" w:color="000000" w:sz="4" w:space="0"/>
              <w:bottom w:val="single" w:color="000000" w:sz="4" w:space="0"/>
              <w:right w:val="single" w:color="000000" w:sz="4" w:space="0"/>
            </w:tcBorders>
            <w:noWrap/>
            <w:vAlign w:val="center"/>
          </w:tcPr>
          <w:p w14:paraId="106EE001">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交通运输局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0F163F1D">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对企业超限超载情况进行检查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052C00DC">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《公路安全保护条例》第</w:t>
            </w:r>
            <w:r>
              <w:rPr>
                <w:rFonts w:hint="eastAsia" w:ascii="仿宋_GB2312" w:hAnsi="方正兰亭黑_GBK" w:eastAsia="仿宋_GB2312" w:cs="仿宋_GB2312"/>
                <w:color w:val="000000"/>
                <w:kern w:val="0"/>
                <w:sz w:val="22"/>
                <w:szCs w:val="22"/>
              </w:rPr>
              <w:t>三十三</w:t>
            </w:r>
            <w:r>
              <w:rPr>
                <w:rFonts w:ascii="仿宋_GB2312" w:hAnsi="方正兰亭黑_GBK" w:eastAsia="仿宋_GB2312" w:cs="仿宋_GB2312"/>
                <w:color w:val="000000"/>
                <w:kern w:val="0"/>
                <w:sz w:val="22"/>
                <w:szCs w:val="22"/>
              </w:rPr>
              <w:t>条</w:t>
            </w:r>
            <w:r>
              <w:rPr>
                <w:rFonts w:hint="eastAsia" w:ascii="仿宋_GB2312" w:hAnsi="方正兰亭黑_GBK" w:eastAsia="仿宋_GB2312" w:cs="仿宋_GB2312"/>
                <w:color w:val="000000"/>
                <w:kern w:val="0"/>
                <w:sz w:val="22"/>
                <w:szCs w:val="22"/>
              </w:rPr>
              <w:t>、第三十五条；</w:t>
            </w:r>
            <w:r>
              <w:rPr>
                <w:rFonts w:ascii="仿宋_GB2312" w:hAnsi="方正兰亭黑_GBK" w:eastAsia="仿宋_GB2312" w:cs="仿宋_GB2312"/>
                <w:color w:val="000000"/>
                <w:kern w:val="0"/>
                <w:sz w:val="22"/>
                <w:szCs w:val="22"/>
              </w:rPr>
              <w:t>《超限运输车辆行驶公路管理规定》</w:t>
            </w:r>
            <w:r>
              <w:rPr>
                <w:rFonts w:hint="eastAsia" w:ascii="仿宋_GB2312" w:hAnsi="方正兰亭黑_GBK" w:eastAsia="仿宋_GB2312" w:cs="仿宋_GB2312"/>
                <w:color w:val="000000"/>
                <w:kern w:val="0"/>
                <w:sz w:val="22"/>
                <w:szCs w:val="22"/>
              </w:rPr>
              <w:t>第三条，第二十条</w:t>
            </w:r>
          </w:p>
        </w:tc>
      </w:tr>
      <w:tr w14:paraId="7D8F73BA">
        <w:tblPrEx>
          <w:tblCellMar>
            <w:top w:w="0" w:type="dxa"/>
            <w:left w:w="108" w:type="dxa"/>
            <w:bottom w:w="0" w:type="dxa"/>
            <w:right w:w="108" w:type="dxa"/>
          </w:tblCellMar>
        </w:tblPrEx>
        <w:trPr>
          <w:trHeight w:val="2431" w:hRule="atLeast"/>
        </w:trPr>
        <w:tc>
          <w:tcPr>
            <w:tcW w:w="442" w:type="dxa"/>
            <w:vMerge w:val="continue"/>
            <w:tcBorders>
              <w:left w:val="single" w:color="000000" w:sz="4" w:space="0"/>
              <w:bottom w:val="single" w:color="000000" w:sz="4" w:space="0"/>
              <w:right w:val="single" w:color="000000" w:sz="4" w:space="0"/>
            </w:tcBorders>
            <w:noWrap/>
            <w:vAlign w:val="center"/>
          </w:tcPr>
          <w:p w14:paraId="5BA93583"/>
        </w:tc>
        <w:tc>
          <w:tcPr>
            <w:tcW w:w="1135" w:type="dxa"/>
            <w:vMerge w:val="continue"/>
            <w:tcBorders>
              <w:left w:val="single" w:color="000000" w:sz="4" w:space="0"/>
              <w:bottom w:val="single" w:color="000000" w:sz="4" w:space="0"/>
              <w:right w:val="single" w:color="000000" w:sz="4" w:space="0"/>
            </w:tcBorders>
            <w:noWrap/>
            <w:vAlign w:val="center"/>
          </w:tcPr>
          <w:p w14:paraId="2A7D08E8"/>
        </w:tc>
        <w:tc>
          <w:tcPr>
            <w:tcW w:w="3182" w:type="dxa"/>
            <w:vMerge w:val="continue"/>
            <w:tcBorders>
              <w:left w:val="single" w:color="000000" w:sz="4" w:space="0"/>
              <w:bottom w:val="single" w:color="000000" w:sz="4" w:space="0"/>
              <w:right w:val="single" w:color="000000" w:sz="4" w:space="0"/>
            </w:tcBorders>
            <w:noWrap/>
            <w:vAlign w:val="center"/>
          </w:tcPr>
          <w:p w14:paraId="3AEEA1B7"/>
        </w:tc>
        <w:tc>
          <w:tcPr>
            <w:tcW w:w="477" w:type="dxa"/>
            <w:vMerge w:val="continue"/>
            <w:tcBorders>
              <w:left w:val="single" w:color="000000" w:sz="4" w:space="0"/>
              <w:bottom w:val="single" w:color="000000" w:sz="4" w:space="0"/>
              <w:right w:val="single" w:color="000000" w:sz="4" w:space="0"/>
            </w:tcBorders>
            <w:noWrap/>
            <w:vAlign w:val="center"/>
          </w:tcPr>
          <w:p w14:paraId="0379DAA2"/>
        </w:tc>
        <w:tc>
          <w:tcPr>
            <w:tcW w:w="900" w:type="dxa"/>
            <w:tcBorders>
              <w:top w:val="single" w:color="000000" w:sz="4" w:space="0"/>
              <w:left w:val="single" w:color="000000" w:sz="4" w:space="0"/>
              <w:bottom w:val="single" w:color="000000" w:sz="4" w:space="0"/>
              <w:right w:val="single" w:color="000000" w:sz="4" w:space="0"/>
            </w:tcBorders>
            <w:noWrap/>
            <w:vAlign w:val="center"/>
          </w:tcPr>
          <w:p w14:paraId="5A43635B">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0A1DC52">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对生产经营单位劳动用工各项制度落实情况及社会保障法律法规执行情况的监督检查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0C003F5">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中华人民共和国社会保险法》第七十七条、第七十九条；《宁夏回族自治区劳动保障监察条例》第八条</w:t>
            </w:r>
          </w:p>
        </w:tc>
      </w:tr>
      <w:tr w14:paraId="6203B54A">
        <w:tblPrEx>
          <w:tblCellMar>
            <w:top w:w="0" w:type="dxa"/>
            <w:left w:w="108" w:type="dxa"/>
            <w:bottom w:w="0" w:type="dxa"/>
            <w:right w:w="108" w:type="dxa"/>
          </w:tblCellMar>
        </w:tblPrEx>
        <w:trPr>
          <w:trHeight w:val="1352" w:hRule="atLeast"/>
        </w:trPr>
        <w:tc>
          <w:tcPr>
            <w:tcW w:w="442" w:type="dxa"/>
            <w:vMerge w:val="restart"/>
            <w:tcBorders>
              <w:top w:val="single" w:color="000000" w:sz="4" w:space="0"/>
              <w:left w:val="single" w:color="000000" w:sz="4" w:space="0"/>
              <w:right w:val="single" w:color="000000" w:sz="4" w:space="0"/>
            </w:tcBorders>
            <w:noWrap/>
            <w:vAlign w:val="center"/>
          </w:tcPr>
          <w:p w14:paraId="4F3A9CBD">
            <w:pPr>
              <w:widowControl/>
              <w:spacing w:line="240" w:lineRule="exact"/>
              <w:jc w:val="center"/>
              <w:rPr>
                <w:rFonts w:hint="eastAsia" w:ascii="仿宋_GB2312" w:hAnsi="方正兰亭黑_GBK" w:eastAsia="仿宋_GB2312" w:cs="仿宋_GB2312"/>
                <w:color w:val="000000"/>
                <w:sz w:val="22"/>
                <w:szCs w:val="22"/>
              </w:rPr>
            </w:pPr>
            <w:r>
              <w:rPr>
                <w:rFonts w:hint="eastAsia" w:ascii="仿宋_GB2312" w:hAnsi="方正兰亭黑_GBK" w:eastAsia="仿宋_GB2312" w:cs="仿宋_GB2312"/>
                <w:color w:val="000000"/>
                <w:sz w:val="22"/>
                <w:szCs w:val="22"/>
              </w:rPr>
              <w:t>8</w:t>
            </w:r>
          </w:p>
        </w:tc>
        <w:tc>
          <w:tcPr>
            <w:tcW w:w="1135" w:type="dxa"/>
            <w:vMerge w:val="restart"/>
            <w:tcBorders>
              <w:top w:val="single" w:color="000000" w:sz="4" w:space="0"/>
              <w:left w:val="single" w:color="000000" w:sz="4" w:space="0"/>
              <w:right w:val="single" w:color="000000" w:sz="4" w:space="0"/>
            </w:tcBorders>
            <w:noWrap/>
            <w:vAlign w:val="center"/>
          </w:tcPr>
          <w:p w14:paraId="34ED5C1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新能源类（24家）</w:t>
            </w:r>
          </w:p>
        </w:tc>
        <w:tc>
          <w:tcPr>
            <w:tcW w:w="3182" w:type="dxa"/>
            <w:vMerge w:val="restart"/>
            <w:tcBorders>
              <w:top w:val="single" w:color="000000" w:sz="4" w:space="0"/>
              <w:left w:val="single" w:color="000000" w:sz="4" w:space="0"/>
              <w:right w:val="single" w:color="000000" w:sz="4" w:space="0"/>
            </w:tcBorders>
            <w:noWrap/>
            <w:vAlign w:val="center"/>
          </w:tcPr>
          <w:p w14:paraId="617A9048">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同心县隆基新能源有限公司</w:t>
            </w:r>
          </w:p>
          <w:p w14:paraId="7CA502B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（同心分劈）宁夏电力公司</w:t>
            </w:r>
          </w:p>
          <w:p w14:paraId="4E00122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中民新能宁夏同心有限公司</w:t>
            </w:r>
          </w:p>
          <w:p w14:paraId="10679C9E">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大唐同心新能源有限公司</w:t>
            </w:r>
          </w:p>
          <w:p w14:paraId="45875280">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龙源宁夏风力发电有限公司</w:t>
            </w:r>
          </w:p>
          <w:p w14:paraId="293F405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中能新源宁夏同心风力发电有限公司</w:t>
            </w:r>
          </w:p>
          <w:p w14:paraId="33A17A86">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宁夏国博新能源有限公司</w:t>
            </w:r>
          </w:p>
          <w:p w14:paraId="7BC1F315">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宁夏中自清洁能源有限公司</w:t>
            </w:r>
          </w:p>
          <w:p w14:paraId="36088451">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宁夏中利牧晖新能源有限公司</w:t>
            </w:r>
          </w:p>
          <w:p w14:paraId="65C766BA">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三峡新能源同心发电有限公司</w:t>
            </w:r>
          </w:p>
          <w:p w14:paraId="54E91685">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宁夏中利淇晖新能源有限公司</w:t>
            </w:r>
          </w:p>
          <w:p w14:paraId="11D1709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宁夏同心大地日盛新能源有限公司</w:t>
            </w:r>
          </w:p>
          <w:p w14:paraId="6178A798">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宁夏恺阳新能源有限公司</w:t>
            </w:r>
          </w:p>
          <w:p w14:paraId="027F4092">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中核（宁夏）同心新能源有限公司</w:t>
            </w:r>
          </w:p>
          <w:p w14:paraId="15FFFAE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宁夏泽诚新能源有限公司</w:t>
            </w:r>
          </w:p>
          <w:p w14:paraId="02A2D1E9">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同心县粤中新能源有限公司</w:t>
            </w:r>
          </w:p>
          <w:p w14:paraId="2B5D38CF">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国电投(同心县)新能源有限公司</w:t>
            </w:r>
          </w:p>
          <w:p w14:paraId="11EF8094">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中元汇能（同心县）风电开发有限公司、同心县明德鑫新能源有限公司</w:t>
            </w:r>
          </w:p>
          <w:p w14:paraId="50211E42">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宁夏德晖新能源科技发展有限公司</w:t>
            </w:r>
          </w:p>
          <w:p w14:paraId="1F3E40E3">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同心县粤盛新能源有限公司</w:t>
            </w:r>
          </w:p>
          <w:p w14:paraId="31359C01">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铝电（同心县）光伏发电有限公司</w:t>
            </w:r>
          </w:p>
          <w:p w14:paraId="406B20A1">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丝路泽元（同心县）新能源有限公司宁夏泽瑞新能源有限公司</w:t>
            </w:r>
          </w:p>
          <w:p w14:paraId="713F2DB0">
            <w:pPr>
              <w:widowControl/>
              <w:spacing w:line="240" w:lineRule="exact"/>
              <w:jc w:val="center"/>
              <w:rPr>
                <w:rFonts w:hint="eastAsia" w:ascii="仿宋_GB2312" w:hAnsi="方正兰亭黑_GBK" w:eastAsia="仿宋_GB2312" w:cs="仿宋_GB2312"/>
                <w:color w:val="000000"/>
                <w:sz w:val="22"/>
                <w:szCs w:val="22"/>
              </w:rPr>
            </w:pPr>
            <w:r>
              <w:rPr>
                <w:rFonts w:ascii="仿宋_GB2312" w:hAnsi="方正兰亭黑_GBK" w:eastAsia="仿宋_GB2312" w:cs="仿宋_GB2312"/>
                <w:color w:val="000000"/>
                <w:sz w:val="22"/>
                <w:szCs w:val="22"/>
              </w:rPr>
              <w:t xml:space="preserve"> </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086BB913">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hint="eastAsia" w:ascii="仿宋_GB2312" w:hAnsi="方正兰亭黑_GBK" w:eastAsia="仿宋_GB2312" w:cs="仿宋_GB2312"/>
                <w:b/>
                <w:bCs/>
                <w:color w:val="000000"/>
                <w:kern w:val="0"/>
                <w:sz w:val="22"/>
                <w:szCs w:val="22"/>
              </w:rPr>
              <w:t>牵头部门</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2F56C7DE">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发改局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14D0BF42">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对安全生产、安全隐患等情况进行排查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1E23EA9B">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《中华人民共和国安全生产法》《中华人民共和国可再生能源法》</w:t>
            </w:r>
          </w:p>
        </w:tc>
      </w:tr>
      <w:tr w14:paraId="575F2610">
        <w:tblPrEx>
          <w:tblCellMar>
            <w:top w:w="0" w:type="dxa"/>
            <w:left w:w="108" w:type="dxa"/>
            <w:bottom w:w="0" w:type="dxa"/>
            <w:right w:w="108" w:type="dxa"/>
          </w:tblCellMar>
        </w:tblPrEx>
        <w:trPr>
          <w:trHeight w:val="1260" w:hRule="atLeast"/>
        </w:trPr>
        <w:tc>
          <w:tcPr>
            <w:tcW w:w="442" w:type="dxa"/>
            <w:vMerge w:val="continue"/>
            <w:tcBorders>
              <w:left w:val="single" w:color="000000" w:sz="4" w:space="0"/>
              <w:right w:val="single" w:color="000000" w:sz="4" w:space="0"/>
            </w:tcBorders>
            <w:noWrap/>
            <w:vAlign w:val="center"/>
          </w:tcPr>
          <w:p w14:paraId="43BFD32D"/>
        </w:tc>
        <w:tc>
          <w:tcPr>
            <w:tcW w:w="1135" w:type="dxa"/>
            <w:vMerge w:val="continue"/>
            <w:tcBorders>
              <w:left w:val="single" w:color="000000" w:sz="4" w:space="0"/>
              <w:right w:val="single" w:color="000000" w:sz="4" w:space="0"/>
            </w:tcBorders>
            <w:noWrap/>
            <w:vAlign w:val="center"/>
          </w:tcPr>
          <w:p w14:paraId="3C859F58"/>
        </w:tc>
        <w:tc>
          <w:tcPr>
            <w:tcW w:w="3182" w:type="dxa"/>
            <w:vMerge w:val="continue"/>
            <w:tcBorders>
              <w:left w:val="single" w:color="000000" w:sz="4" w:space="0"/>
              <w:right w:val="single" w:color="000000" w:sz="4" w:space="0"/>
            </w:tcBorders>
            <w:noWrap/>
            <w:vAlign w:val="center"/>
          </w:tcPr>
          <w:p w14:paraId="372DAC61"/>
        </w:tc>
        <w:tc>
          <w:tcPr>
            <w:tcW w:w="477" w:type="dxa"/>
            <w:vMerge w:val="restart"/>
            <w:tcBorders>
              <w:top w:val="single" w:color="000000" w:sz="4" w:space="0"/>
              <w:left w:val="single" w:color="000000" w:sz="4" w:space="0"/>
              <w:right w:val="single" w:color="000000" w:sz="4" w:space="0"/>
            </w:tcBorders>
            <w:noWrap/>
            <w:vAlign w:val="center"/>
          </w:tcPr>
          <w:p w14:paraId="169907BB">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hint="eastAsia" w:ascii="仿宋_GB2312" w:hAnsi="方正兰亭黑_GBK" w:eastAsia="仿宋_GB2312" w:cs="仿宋_GB2312"/>
                <w:b/>
                <w:bCs/>
                <w:color w:val="000000"/>
                <w:kern w:val="0"/>
                <w:sz w:val="22"/>
                <w:szCs w:val="22"/>
              </w:rPr>
              <w:t>配合部门</w:t>
            </w:r>
          </w:p>
          <w:p w14:paraId="287C7D98">
            <w:pPr>
              <w:widowControl/>
              <w:spacing w:line="240" w:lineRule="exact"/>
              <w:jc w:val="left"/>
              <w:textAlignment w:val="center"/>
              <w:rPr>
                <w:rFonts w:hint="eastAsia" w:ascii="仿宋_GB2312" w:hAnsi="方正兰亭黑_GBK" w:eastAsia="仿宋_GB2312" w:cs="仿宋_GB2312"/>
                <w:b/>
                <w:bCs/>
                <w:color w:val="000000"/>
                <w:kern w:val="0"/>
                <w:sz w:val="22"/>
                <w:szCs w:val="22"/>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124960F9">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林草局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F6612B0">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检查占用林地、草原及林地草原复绿情况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2CDBAA09">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《中华人民共和国草原法》第三十八条、第三十九条、第四十条、第六十八条，《中华人民共和国森林法》第三十七条、第三十八条、第三十九条、第七十三条、第七十四条</w:t>
            </w:r>
          </w:p>
        </w:tc>
      </w:tr>
      <w:tr w14:paraId="0C1244EE">
        <w:tblPrEx>
          <w:tblCellMar>
            <w:top w:w="0" w:type="dxa"/>
            <w:left w:w="108" w:type="dxa"/>
            <w:bottom w:w="0" w:type="dxa"/>
            <w:right w:w="108" w:type="dxa"/>
          </w:tblCellMar>
        </w:tblPrEx>
        <w:trPr>
          <w:trHeight w:val="1012" w:hRule="atLeast"/>
        </w:trPr>
        <w:tc>
          <w:tcPr>
            <w:tcW w:w="442" w:type="dxa"/>
            <w:vMerge w:val="continue"/>
            <w:tcBorders>
              <w:left w:val="single" w:color="000000" w:sz="4" w:space="0"/>
              <w:right w:val="single" w:color="000000" w:sz="4" w:space="0"/>
            </w:tcBorders>
            <w:noWrap/>
            <w:vAlign w:val="center"/>
          </w:tcPr>
          <w:p w14:paraId="4093355E"/>
        </w:tc>
        <w:tc>
          <w:tcPr>
            <w:tcW w:w="1135" w:type="dxa"/>
            <w:vMerge w:val="continue"/>
            <w:tcBorders>
              <w:left w:val="single" w:color="000000" w:sz="4" w:space="0"/>
              <w:right w:val="single" w:color="000000" w:sz="4" w:space="0"/>
            </w:tcBorders>
            <w:noWrap/>
            <w:vAlign w:val="center"/>
          </w:tcPr>
          <w:p w14:paraId="1657D92C"/>
        </w:tc>
        <w:tc>
          <w:tcPr>
            <w:tcW w:w="3182" w:type="dxa"/>
            <w:vMerge w:val="continue"/>
            <w:tcBorders>
              <w:left w:val="single" w:color="000000" w:sz="4" w:space="0"/>
              <w:right w:val="single" w:color="000000" w:sz="4" w:space="0"/>
            </w:tcBorders>
            <w:noWrap/>
            <w:vAlign w:val="center"/>
          </w:tcPr>
          <w:p w14:paraId="2112A1BC"/>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6221511"/>
        </w:tc>
        <w:tc>
          <w:tcPr>
            <w:tcW w:w="900" w:type="dxa"/>
            <w:tcBorders>
              <w:top w:val="single" w:color="000000" w:sz="4" w:space="0"/>
              <w:left w:val="single" w:color="000000" w:sz="4" w:space="0"/>
              <w:bottom w:val="single" w:color="000000" w:sz="4" w:space="0"/>
              <w:right w:val="single" w:color="000000" w:sz="4" w:space="0"/>
            </w:tcBorders>
            <w:noWrap/>
            <w:vAlign w:val="center"/>
          </w:tcPr>
          <w:p w14:paraId="71730E2A">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消防救援大队</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0927439">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对企业履行法定消防安全职责情况及对使用领域的消防产品质量的监督检查。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6812907">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《中华人民共和国消防法》第二十五条、第五十二条、第五十三条</w:t>
            </w:r>
          </w:p>
        </w:tc>
      </w:tr>
      <w:tr w14:paraId="30DB9BF0">
        <w:tblPrEx>
          <w:tblCellMar>
            <w:top w:w="0" w:type="dxa"/>
            <w:left w:w="108" w:type="dxa"/>
            <w:bottom w:w="0" w:type="dxa"/>
            <w:right w:w="108" w:type="dxa"/>
          </w:tblCellMar>
        </w:tblPrEx>
        <w:trPr>
          <w:trHeight w:val="914" w:hRule="atLeast"/>
        </w:trPr>
        <w:tc>
          <w:tcPr>
            <w:tcW w:w="442" w:type="dxa"/>
            <w:vMerge w:val="continue"/>
            <w:tcBorders>
              <w:left w:val="single" w:color="000000" w:sz="4" w:space="0"/>
              <w:right w:val="single" w:color="000000" w:sz="4" w:space="0"/>
            </w:tcBorders>
            <w:noWrap/>
            <w:vAlign w:val="center"/>
          </w:tcPr>
          <w:p w14:paraId="423BBBF1"/>
        </w:tc>
        <w:tc>
          <w:tcPr>
            <w:tcW w:w="1135" w:type="dxa"/>
            <w:vMerge w:val="continue"/>
            <w:tcBorders>
              <w:left w:val="single" w:color="000000" w:sz="4" w:space="0"/>
              <w:right w:val="single" w:color="000000" w:sz="4" w:space="0"/>
            </w:tcBorders>
            <w:noWrap/>
            <w:vAlign w:val="center"/>
          </w:tcPr>
          <w:p w14:paraId="4F1ED6B2"/>
        </w:tc>
        <w:tc>
          <w:tcPr>
            <w:tcW w:w="3182" w:type="dxa"/>
            <w:vMerge w:val="continue"/>
            <w:tcBorders>
              <w:left w:val="single" w:color="000000" w:sz="4" w:space="0"/>
              <w:right w:val="single" w:color="000000" w:sz="4" w:space="0"/>
            </w:tcBorders>
            <w:noWrap/>
            <w:vAlign w:val="center"/>
          </w:tcPr>
          <w:p w14:paraId="0C1BAF92"/>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4832FBC"/>
        </w:tc>
        <w:tc>
          <w:tcPr>
            <w:tcW w:w="900" w:type="dxa"/>
            <w:tcBorders>
              <w:top w:val="single" w:color="000000" w:sz="4" w:space="0"/>
              <w:left w:val="single" w:color="000000" w:sz="4" w:space="0"/>
              <w:bottom w:val="single" w:color="000000" w:sz="4" w:space="0"/>
              <w:right w:val="single" w:color="000000" w:sz="4" w:space="0"/>
            </w:tcBorders>
            <w:noWrap/>
            <w:vAlign w:val="center"/>
          </w:tcPr>
          <w:p w14:paraId="30B59261">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水务局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5AA2978C">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对生产建设项目水土保持方案落实情况</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668F7136">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《中华人民共和国水土保持法》第二十九条、第四十三条、</w:t>
            </w:r>
          </w:p>
        </w:tc>
      </w:tr>
      <w:tr w14:paraId="1BD54EBE">
        <w:tblPrEx>
          <w:tblCellMar>
            <w:top w:w="0" w:type="dxa"/>
            <w:left w:w="108" w:type="dxa"/>
            <w:bottom w:w="0" w:type="dxa"/>
            <w:right w:w="108" w:type="dxa"/>
          </w:tblCellMar>
        </w:tblPrEx>
        <w:trPr>
          <w:trHeight w:val="642" w:hRule="atLeast"/>
        </w:trPr>
        <w:tc>
          <w:tcPr>
            <w:tcW w:w="442" w:type="dxa"/>
            <w:vMerge w:val="continue"/>
            <w:tcBorders>
              <w:left w:val="single" w:color="000000" w:sz="4" w:space="0"/>
              <w:right w:val="single" w:color="000000" w:sz="4" w:space="0"/>
            </w:tcBorders>
            <w:noWrap/>
            <w:vAlign w:val="center"/>
          </w:tcPr>
          <w:p w14:paraId="356AB2E7"/>
        </w:tc>
        <w:tc>
          <w:tcPr>
            <w:tcW w:w="1135" w:type="dxa"/>
            <w:vMerge w:val="continue"/>
            <w:tcBorders>
              <w:left w:val="single" w:color="000000" w:sz="4" w:space="0"/>
              <w:right w:val="single" w:color="000000" w:sz="4" w:space="0"/>
            </w:tcBorders>
            <w:noWrap/>
            <w:vAlign w:val="center"/>
          </w:tcPr>
          <w:p w14:paraId="366694C0"/>
        </w:tc>
        <w:tc>
          <w:tcPr>
            <w:tcW w:w="3182" w:type="dxa"/>
            <w:vMerge w:val="continue"/>
            <w:tcBorders>
              <w:left w:val="single" w:color="000000" w:sz="4" w:space="0"/>
              <w:right w:val="single" w:color="000000" w:sz="4" w:space="0"/>
            </w:tcBorders>
            <w:noWrap/>
            <w:vAlign w:val="center"/>
          </w:tcPr>
          <w:p w14:paraId="5B145904"/>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29BEB08F"/>
        </w:tc>
        <w:tc>
          <w:tcPr>
            <w:tcW w:w="900" w:type="dxa"/>
            <w:tcBorders>
              <w:top w:val="single" w:color="000000" w:sz="4" w:space="0"/>
              <w:left w:val="single" w:color="000000" w:sz="4" w:space="0"/>
              <w:bottom w:val="single" w:color="000000" w:sz="4" w:space="0"/>
              <w:right w:val="single" w:color="000000" w:sz="4" w:space="0"/>
            </w:tcBorders>
            <w:noWrap/>
            <w:vAlign w:val="center"/>
          </w:tcPr>
          <w:p w14:paraId="52F5ADA8">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自然资源局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3CB3176A">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对本行政区域内的“一书三证”核发情况进行行政检查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41E8F3DF">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《中华人民共和国城乡规划法》第五十三条。</w:t>
            </w:r>
          </w:p>
        </w:tc>
      </w:tr>
      <w:tr w14:paraId="4585EFE4">
        <w:tblPrEx>
          <w:tblCellMar>
            <w:top w:w="0" w:type="dxa"/>
            <w:left w:w="108" w:type="dxa"/>
            <w:bottom w:w="0" w:type="dxa"/>
            <w:right w:w="108" w:type="dxa"/>
          </w:tblCellMar>
        </w:tblPrEx>
        <w:trPr>
          <w:trHeight w:val="1090" w:hRule="atLeast"/>
        </w:trPr>
        <w:tc>
          <w:tcPr>
            <w:tcW w:w="442" w:type="dxa"/>
            <w:vMerge w:val="continue"/>
            <w:tcBorders>
              <w:left w:val="single" w:color="000000" w:sz="4" w:space="0"/>
              <w:bottom w:val="single" w:color="000000" w:sz="4" w:space="0"/>
              <w:right w:val="single" w:color="000000" w:sz="4" w:space="0"/>
            </w:tcBorders>
            <w:noWrap/>
            <w:vAlign w:val="center"/>
          </w:tcPr>
          <w:p w14:paraId="21A291F3"/>
        </w:tc>
        <w:tc>
          <w:tcPr>
            <w:tcW w:w="1135" w:type="dxa"/>
            <w:vMerge w:val="continue"/>
            <w:tcBorders>
              <w:left w:val="single" w:color="000000" w:sz="4" w:space="0"/>
              <w:bottom w:val="single" w:color="000000" w:sz="4" w:space="0"/>
              <w:right w:val="single" w:color="000000" w:sz="4" w:space="0"/>
            </w:tcBorders>
            <w:noWrap/>
            <w:vAlign w:val="center"/>
          </w:tcPr>
          <w:p w14:paraId="437EA1BD"/>
        </w:tc>
        <w:tc>
          <w:tcPr>
            <w:tcW w:w="3182" w:type="dxa"/>
            <w:vMerge w:val="continue"/>
            <w:tcBorders>
              <w:left w:val="single" w:color="000000" w:sz="4" w:space="0"/>
              <w:bottom w:val="single" w:color="000000" w:sz="4" w:space="0"/>
              <w:right w:val="single" w:color="000000" w:sz="4" w:space="0"/>
            </w:tcBorders>
            <w:noWrap/>
            <w:vAlign w:val="center"/>
          </w:tcPr>
          <w:p w14:paraId="5CF87CDF"/>
        </w:tc>
        <w:tc>
          <w:tcPr>
            <w:tcW w:w="477" w:type="dxa"/>
            <w:vMerge w:val="continue"/>
            <w:tcBorders>
              <w:top w:val="single" w:color="000000" w:sz="4" w:space="0"/>
              <w:left w:val="single" w:color="000000" w:sz="4" w:space="0"/>
              <w:bottom w:val="single" w:color="000000" w:sz="4" w:space="0"/>
              <w:right w:val="single" w:color="000000" w:sz="4" w:space="0"/>
            </w:tcBorders>
            <w:noWrap/>
            <w:vAlign w:val="center"/>
          </w:tcPr>
          <w:p w14:paraId="6EEB4C90"/>
        </w:tc>
        <w:tc>
          <w:tcPr>
            <w:tcW w:w="900" w:type="dxa"/>
            <w:tcBorders>
              <w:top w:val="single" w:color="000000" w:sz="4" w:space="0"/>
              <w:left w:val="single" w:color="000000" w:sz="4" w:space="0"/>
              <w:bottom w:val="single" w:color="000000" w:sz="4" w:space="0"/>
              <w:right w:val="single" w:color="000000" w:sz="4" w:space="0"/>
            </w:tcBorders>
            <w:noWrap/>
            <w:vAlign w:val="center"/>
          </w:tcPr>
          <w:p w14:paraId="1AACC124">
            <w:pPr>
              <w:widowControl/>
              <w:spacing w:line="240" w:lineRule="exact"/>
              <w:jc w:val="center"/>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人社局</w:t>
            </w:r>
          </w:p>
        </w:tc>
        <w:tc>
          <w:tcPr>
            <w:tcW w:w="3586" w:type="dxa"/>
            <w:tcBorders>
              <w:top w:val="single" w:color="000000" w:sz="4" w:space="0"/>
              <w:left w:val="single" w:color="000000" w:sz="4" w:space="0"/>
              <w:bottom w:val="single" w:color="000000" w:sz="4" w:space="0"/>
              <w:right w:val="single" w:color="000000" w:sz="4" w:space="0"/>
            </w:tcBorders>
            <w:noWrap/>
            <w:vAlign w:val="center"/>
          </w:tcPr>
          <w:p w14:paraId="66DCA87D">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对项目施工过程中农民工工资支付情况进行检查</w:t>
            </w:r>
          </w:p>
        </w:tc>
        <w:tc>
          <w:tcPr>
            <w:tcW w:w="5959" w:type="dxa"/>
            <w:tcBorders>
              <w:top w:val="single" w:color="000000" w:sz="4" w:space="0"/>
              <w:left w:val="single" w:color="000000" w:sz="4" w:space="0"/>
              <w:bottom w:val="single" w:color="000000" w:sz="4" w:space="0"/>
              <w:right w:val="single" w:color="000000" w:sz="4" w:space="0"/>
            </w:tcBorders>
            <w:noWrap/>
            <w:vAlign w:val="center"/>
          </w:tcPr>
          <w:p w14:paraId="73B172F9">
            <w:pPr>
              <w:widowControl/>
              <w:spacing w:line="240" w:lineRule="exact"/>
              <w:jc w:val="left"/>
              <w:textAlignment w:val="center"/>
              <w:rPr>
                <w:rFonts w:hint="eastAsia" w:ascii="仿宋_GB2312" w:hAnsi="方正兰亭黑_GBK" w:eastAsia="仿宋_GB2312" w:cs="仿宋_GB2312"/>
                <w:color w:val="000000"/>
                <w:kern w:val="0"/>
                <w:sz w:val="22"/>
                <w:szCs w:val="22"/>
              </w:rPr>
            </w:pPr>
            <w:r>
              <w:rPr>
                <w:rFonts w:ascii="仿宋_GB2312" w:hAnsi="方正兰亭黑_GBK" w:eastAsia="仿宋_GB2312" w:cs="仿宋_GB2312"/>
                <w:color w:val="000000"/>
                <w:kern w:val="0"/>
                <w:sz w:val="22"/>
                <w:szCs w:val="22"/>
              </w:rPr>
              <w:t>《中华人民共和国劳动法》第八十五条、八十六条；《中华人民共和国劳动合同法》第七十三条、第七十四条；《保障农民工工资支付条例》第三十九条；《宁夏回族自治区劳动保障监察条例》第八条</w:t>
            </w:r>
          </w:p>
        </w:tc>
      </w:tr>
    </w:tbl>
    <w:p w14:paraId="6472E5C7"/>
    <w:p w14:paraId="74AB0730">
      <w:pPr>
        <w:pStyle w:val="2"/>
        <w:ind w:left="420" w:firstLine="422"/>
        <w:sectPr>
          <w:footerReference r:id="rId3" w:type="default"/>
          <w:pgSz w:w="16838" w:h="11906" w:orient="landscape"/>
          <w:pgMar w:top="1803" w:right="1440" w:bottom="1803" w:left="1440" w:header="851" w:footer="992" w:gutter="0"/>
          <w:pgNumType w:fmt="numberInDash" w:start="1"/>
          <w:cols w:space="0" w:num="1"/>
          <w:rtlGutter w:val="1"/>
          <w:docGrid w:type="lines" w:linePitch="312" w:charSpace="0"/>
        </w:sectPr>
      </w:pPr>
    </w:p>
    <w:p w14:paraId="486ADAD9">
      <w:pPr>
        <w:pStyle w:val="9"/>
        <w:rPr>
          <w:rFonts w:eastAsiaTheme="minorEastAsia"/>
        </w:rPr>
      </w:pPr>
    </w:p>
    <w:p w14:paraId="69198489">
      <w:pPr>
        <w:pStyle w:val="9"/>
        <w:rPr>
          <w:rFonts w:eastAsiaTheme="minorEastAsia"/>
        </w:rPr>
      </w:pPr>
    </w:p>
    <w:p w14:paraId="5330485C">
      <w:pPr>
        <w:pStyle w:val="9"/>
        <w:rPr>
          <w:rFonts w:eastAsiaTheme="minorEastAsia"/>
        </w:rPr>
      </w:pPr>
    </w:p>
    <w:p w14:paraId="4A670D7B">
      <w:pPr>
        <w:pStyle w:val="9"/>
        <w:rPr>
          <w:rFonts w:eastAsiaTheme="minorEastAsia"/>
        </w:rPr>
      </w:pPr>
    </w:p>
    <w:p w14:paraId="5C04034C">
      <w:pPr>
        <w:pStyle w:val="9"/>
        <w:rPr>
          <w:rFonts w:eastAsiaTheme="minorEastAsia"/>
        </w:rPr>
      </w:pPr>
    </w:p>
    <w:p w14:paraId="2FE5755E">
      <w:pPr>
        <w:pStyle w:val="9"/>
        <w:rPr>
          <w:rFonts w:eastAsiaTheme="minorEastAsia"/>
        </w:rPr>
      </w:pPr>
    </w:p>
    <w:p w14:paraId="120A4AC7">
      <w:pPr>
        <w:pStyle w:val="9"/>
        <w:rPr>
          <w:rFonts w:eastAsiaTheme="minorEastAsia"/>
        </w:rPr>
      </w:pPr>
    </w:p>
    <w:p w14:paraId="2584E156">
      <w:pPr>
        <w:pStyle w:val="9"/>
        <w:rPr>
          <w:rFonts w:eastAsiaTheme="minorEastAsia"/>
        </w:rPr>
      </w:pPr>
    </w:p>
    <w:p w14:paraId="58BC9241">
      <w:pPr>
        <w:pStyle w:val="9"/>
        <w:rPr>
          <w:rFonts w:eastAsiaTheme="minorEastAsia"/>
        </w:rPr>
      </w:pPr>
    </w:p>
    <w:p w14:paraId="207B7819">
      <w:pPr>
        <w:pStyle w:val="9"/>
        <w:rPr>
          <w:rFonts w:eastAsiaTheme="minorEastAsia"/>
        </w:rPr>
      </w:pPr>
    </w:p>
    <w:p w14:paraId="62FC6A70">
      <w:pPr>
        <w:pStyle w:val="9"/>
        <w:rPr>
          <w:rFonts w:eastAsiaTheme="minorEastAsia"/>
        </w:rPr>
      </w:pPr>
    </w:p>
    <w:p w14:paraId="01ACA98C">
      <w:pPr>
        <w:pStyle w:val="9"/>
        <w:rPr>
          <w:rFonts w:eastAsiaTheme="minorEastAsia"/>
        </w:rPr>
      </w:pPr>
    </w:p>
    <w:p w14:paraId="7FBB6329">
      <w:pPr>
        <w:pStyle w:val="9"/>
        <w:rPr>
          <w:rFonts w:eastAsiaTheme="minorEastAsia"/>
        </w:rPr>
      </w:pPr>
    </w:p>
    <w:p w14:paraId="03F11AB5">
      <w:pPr>
        <w:pStyle w:val="9"/>
        <w:rPr>
          <w:rFonts w:eastAsiaTheme="minorEastAsia"/>
        </w:rPr>
      </w:pPr>
    </w:p>
    <w:p w14:paraId="300B8671">
      <w:pPr>
        <w:pStyle w:val="9"/>
        <w:rPr>
          <w:rFonts w:eastAsiaTheme="minorEastAsia"/>
        </w:rPr>
      </w:pPr>
    </w:p>
    <w:p w14:paraId="449A0D5F">
      <w:pPr>
        <w:pStyle w:val="13"/>
        <w:rPr>
          <w:rFonts w:ascii="Times New Roman" w:hAnsi="Times New Roman"/>
        </w:rPr>
      </w:pPr>
    </w:p>
    <w:p w14:paraId="362B7322">
      <w:pPr>
        <w:pStyle w:val="13"/>
        <w:rPr>
          <w:rFonts w:ascii="Times New Roman" w:hAnsi="Times New Roman"/>
        </w:rPr>
      </w:pPr>
    </w:p>
    <w:p w14:paraId="305F8882">
      <w:pPr>
        <w:pStyle w:val="13"/>
        <w:rPr>
          <w:rFonts w:ascii="Times New Roman" w:hAnsi="Times New Roman"/>
        </w:rPr>
      </w:pPr>
    </w:p>
    <w:p w14:paraId="5FECF236">
      <w:pPr>
        <w:pStyle w:val="13"/>
        <w:rPr>
          <w:rFonts w:ascii="Times New Roman" w:hAnsi="Times New Roman"/>
        </w:rPr>
      </w:pPr>
    </w:p>
    <w:p w14:paraId="5BFF39E0">
      <w:pPr>
        <w:pStyle w:val="13"/>
        <w:rPr>
          <w:rFonts w:ascii="Times New Roman" w:hAnsi="Times New Roman"/>
        </w:rPr>
      </w:pPr>
    </w:p>
    <w:p w14:paraId="1FEA119D">
      <w:pPr>
        <w:pStyle w:val="13"/>
        <w:rPr>
          <w:rFonts w:ascii="Times New Roman" w:hAnsi="Times New Roman"/>
        </w:rPr>
      </w:pPr>
    </w:p>
    <w:p w14:paraId="217220BF">
      <w:pPr>
        <w:pStyle w:val="13"/>
        <w:rPr>
          <w:rFonts w:ascii="Times New Roman" w:hAnsi="Times New Roman"/>
        </w:rPr>
      </w:pPr>
    </w:p>
    <w:p w14:paraId="7C649E82">
      <w:pPr>
        <w:pStyle w:val="13"/>
        <w:rPr>
          <w:rFonts w:ascii="Times New Roman" w:hAnsi="Times New Roman"/>
        </w:rPr>
      </w:pPr>
    </w:p>
    <w:p w14:paraId="654CEF6A">
      <w:pPr>
        <w:pStyle w:val="13"/>
        <w:rPr>
          <w:rFonts w:ascii="Times New Roman" w:hAnsi="Times New Roman"/>
        </w:rPr>
      </w:pPr>
    </w:p>
    <w:p w14:paraId="25AAFFA9">
      <w:pPr>
        <w:pStyle w:val="13"/>
        <w:rPr>
          <w:rFonts w:ascii="Times New Roman" w:hAnsi="Times New Roman"/>
        </w:rPr>
      </w:pPr>
    </w:p>
    <w:p w14:paraId="2B636C03">
      <w:pPr>
        <w:pStyle w:val="13"/>
        <w:rPr>
          <w:rFonts w:ascii="Times New Roman" w:hAnsi="Times New Roman"/>
        </w:rPr>
      </w:pPr>
    </w:p>
    <w:p w14:paraId="6815FE48">
      <w:pPr>
        <w:pStyle w:val="13"/>
        <w:rPr>
          <w:rFonts w:ascii="Times New Roman" w:hAnsi="Times New Roman"/>
        </w:rPr>
      </w:pPr>
    </w:p>
    <w:p w14:paraId="52CF5528">
      <w:pPr>
        <w:pStyle w:val="13"/>
        <w:rPr>
          <w:rFonts w:ascii="Times New Roman" w:hAnsi="Times New Roman"/>
        </w:rPr>
      </w:pPr>
    </w:p>
    <w:p w14:paraId="391CB583">
      <w:pPr>
        <w:pStyle w:val="13"/>
        <w:rPr>
          <w:rFonts w:ascii="Times New Roman" w:hAnsi="Times New Roman"/>
        </w:rPr>
      </w:pPr>
    </w:p>
    <w:p w14:paraId="05A738E8">
      <w:pPr>
        <w:pStyle w:val="13"/>
        <w:rPr>
          <w:rFonts w:ascii="Times New Roman" w:hAnsi="Times New Roman"/>
        </w:rPr>
      </w:pPr>
    </w:p>
    <w:p w14:paraId="768E2B41">
      <w:pPr>
        <w:pStyle w:val="13"/>
        <w:rPr>
          <w:rFonts w:ascii="Times New Roman" w:hAnsi="Times New Roman"/>
        </w:rPr>
      </w:pPr>
    </w:p>
    <w:p w14:paraId="36B15235">
      <w:pPr>
        <w:pStyle w:val="13"/>
        <w:rPr>
          <w:rFonts w:ascii="Times New Roman" w:hAnsi="Times New Roman"/>
        </w:rPr>
      </w:pPr>
    </w:p>
    <w:p w14:paraId="0D50AEFC">
      <w:pPr>
        <w:pStyle w:val="13"/>
        <w:rPr>
          <w:rFonts w:ascii="Times New Roman" w:hAnsi="Times New Roman"/>
        </w:rPr>
      </w:pPr>
    </w:p>
    <w:p w14:paraId="7DA1C4E0">
      <w:pPr>
        <w:pStyle w:val="13"/>
        <w:rPr>
          <w:rFonts w:ascii="Times New Roman" w:hAnsi="Times New Roman"/>
        </w:rPr>
      </w:pPr>
    </w:p>
    <w:p w14:paraId="085BAC45">
      <w:pPr>
        <w:pStyle w:val="13"/>
        <w:rPr>
          <w:rFonts w:ascii="Times New Roman" w:hAnsi="Times New Roman"/>
        </w:rPr>
      </w:pPr>
    </w:p>
    <w:p w14:paraId="622EB41E">
      <w:pPr>
        <w:pStyle w:val="13"/>
        <w:rPr>
          <w:rFonts w:ascii="Times New Roman" w:hAnsi="Times New Roman"/>
        </w:rPr>
      </w:pPr>
    </w:p>
    <w:p w14:paraId="54B36838">
      <w:pPr>
        <w:pStyle w:val="13"/>
        <w:rPr>
          <w:rFonts w:ascii="Times New Roman" w:hAnsi="Times New Roman"/>
        </w:rPr>
      </w:pPr>
    </w:p>
    <w:p w14:paraId="42C02E8A">
      <w:pPr>
        <w:pStyle w:val="13"/>
        <w:rPr>
          <w:rFonts w:ascii="Times New Roman" w:hAnsi="Times New Roman"/>
        </w:rPr>
      </w:pPr>
    </w:p>
    <w:p w14:paraId="03E03935">
      <w:pPr>
        <w:pStyle w:val="13"/>
        <w:rPr>
          <w:rFonts w:ascii="Times New Roman" w:hAnsi="Times New Roman"/>
        </w:rPr>
      </w:pPr>
    </w:p>
    <w:p w14:paraId="44AAA08E">
      <w:pPr>
        <w:pStyle w:val="13"/>
        <w:rPr>
          <w:rFonts w:ascii="Times New Roman" w:hAnsi="Times New Roman"/>
        </w:rPr>
      </w:pPr>
    </w:p>
    <w:p w14:paraId="5AC70F54">
      <w:pPr>
        <w:pStyle w:val="13"/>
        <w:rPr>
          <w:rFonts w:ascii="Times New Roman" w:hAnsi="Times New Roman"/>
        </w:rPr>
      </w:pPr>
    </w:p>
    <w:p w14:paraId="474BCAFD">
      <w:pPr>
        <w:pStyle w:val="13"/>
        <w:rPr>
          <w:rFonts w:ascii="Times New Roman" w:hAnsi="Times New Roman"/>
        </w:rPr>
      </w:pPr>
    </w:p>
    <w:p w14:paraId="68F2CAB3">
      <w:pPr>
        <w:pStyle w:val="13"/>
        <w:rPr>
          <w:rFonts w:ascii="Times New Roman" w:hAnsi="Times New Roman"/>
        </w:rPr>
      </w:pPr>
    </w:p>
    <w:p w14:paraId="3BB01B4E">
      <w:pPr>
        <w:pStyle w:val="13"/>
        <w:rPr>
          <w:rFonts w:ascii="Times New Roman" w:hAnsi="Times New Roman"/>
        </w:rPr>
      </w:pPr>
    </w:p>
    <w:p w14:paraId="6F104A16">
      <w:pPr>
        <w:pStyle w:val="13"/>
        <w:rPr>
          <w:rFonts w:ascii="Times New Roman" w:hAnsi="Times New Roman"/>
        </w:rPr>
      </w:pPr>
    </w:p>
    <w:p w14:paraId="7F8FB3A1">
      <w:pPr>
        <w:pStyle w:val="13"/>
        <w:rPr>
          <w:rFonts w:ascii="Times New Roman" w:hAnsi="Times New Roman"/>
        </w:rPr>
      </w:pPr>
    </w:p>
    <w:p w14:paraId="2694143A">
      <w:pPr>
        <w:pStyle w:val="13"/>
        <w:rPr>
          <w:rFonts w:ascii="Times New Roman" w:hAnsi="Times New Roman"/>
        </w:rPr>
      </w:pPr>
    </w:p>
    <w:p w14:paraId="6A662B50">
      <w:pPr>
        <w:pStyle w:val="13"/>
        <w:rPr>
          <w:rFonts w:ascii="Times New Roman" w:hAnsi="Times New Roman"/>
        </w:rPr>
      </w:pPr>
    </w:p>
    <w:p w14:paraId="727235F2">
      <w:pPr>
        <w:pStyle w:val="13"/>
        <w:rPr>
          <w:rFonts w:ascii="Times New Roman" w:hAnsi="Times New Roman"/>
        </w:rPr>
      </w:pPr>
    </w:p>
    <w:p w14:paraId="4A98ACDF">
      <w:pPr>
        <w:pStyle w:val="13"/>
        <w:rPr>
          <w:rFonts w:ascii="Times New Roman" w:hAnsi="Times New Roman"/>
        </w:rPr>
      </w:pPr>
    </w:p>
    <w:p w14:paraId="6E48F490">
      <w:pPr>
        <w:tabs>
          <w:tab w:val="left" w:pos="1652"/>
        </w:tabs>
        <w:spacing w:line="560" w:lineRule="exact"/>
        <w:ind w:right="382" w:rightChars="182" w:firstLine="320" w:firstLineChars="100"/>
        <w:rPr>
          <w:rFonts w:ascii="Times New Roman" w:hAnsi="Times New Roman" w:eastAsia="仿宋_GB2312"/>
          <w:sz w:val="28"/>
          <w:szCs w:val="28"/>
        </w:rPr>
      </w:pPr>
      <w:r>
        <w:rPr>
          <w:rFonts w:ascii="Times New Roman" w:hAnsi="Times New Roman" w:eastAsia="仿宋_GB2312"/>
          <w:sz w:val="32"/>
          <w:szCs w:val="2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55880</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6350">
                          <a:solidFill>
                            <a:srgbClr val="000000"/>
                          </a:solidFill>
                          <a:round/>
                        </a:ln>
                      </wps:spPr>
                      <wps:bodyPr/>
                    </wps:wsp>
                  </a:graphicData>
                </a:graphic>
              </wp:anchor>
            </w:drawing>
          </mc:Choice>
          <mc:Fallback>
            <w:pict>
              <v:line id="_x0000_s1026" o:spid="_x0000_s1026" o:spt="20" style="position:absolute;left:0pt;margin-left:0pt;margin-top:4.4pt;height:0pt;width:442.2pt;z-index:251660288;mso-width-relative:page;mso-height-relative:page;" filled="f" stroked="t" coordsize="21600,21600" o:gfxdata="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nqmZdEAAAAEAQAADwAA&#10;AAAAAAABACAAAAAiAAAAZHJzL2Rvd25yZXYueG1sUEsBAhQAFAAAAAgAh07iQPqpLmbkAQAAqgMA&#10;AA4AAAAAAAAAAQAgAAAAIAEAAGRycy9lMm9Eb2MueG1sUEsFBgAAAAAGAAYAWQEAAHYFAAAAAA==&#10;">
                <v:fill on="f" focussize="0,0"/>
                <v:stroke weight="0.5pt" color="#000000" joinstyle="round"/>
                <v:imagedata o:title=""/>
                <o:lock v:ext="edit" aspectratio="f"/>
              </v:line>
            </w:pict>
          </mc:Fallback>
        </mc:AlternateContent>
      </w:r>
      <w:r>
        <w:rPr>
          <w:rFonts w:ascii="Times New Roman" w:hAnsi="Times New Roman" w:eastAsia="仿宋_GB2312"/>
          <w:sz w:val="28"/>
          <w:szCs w:val="28"/>
        </w:rPr>
        <w:t xml:space="preserve">同心县人民政府办公室            </w:t>
      </w:r>
      <w:r>
        <w:rPr>
          <w:rFonts w:ascii="Times New Roman" w:hAnsi="Times New Roman"/>
          <w:sz w:val="28"/>
          <w:szCs w:val="28"/>
        </w:rPr>
        <w:t xml:space="preserve">  </w:t>
      </w:r>
      <w:r>
        <w:rPr>
          <w:rFonts w:ascii="Times New Roman" w:hAnsi="Times New Roman" w:eastAsia="仿宋_GB2312"/>
          <w:sz w:val="28"/>
          <w:szCs w:val="28"/>
        </w:rPr>
        <w:t xml:space="preserve">     202</w:t>
      </w:r>
      <w:r>
        <w:rPr>
          <w:rFonts w:hint="eastAsia" w:ascii="Times New Roman" w:hAnsi="Times New Roman" w:eastAsia="仿宋_GB2312"/>
          <w:sz w:val="28"/>
          <w:szCs w:val="28"/>
        </w:rPr>
        <w:t>5</w:t>
      </w:r>
      <w:r>
        <w:rPr>
          <w:rFonts w:ascii="Times New Roman" w:hAnsi="Times New Roman" w:eastAsia="仿宋_GB2312"/>
          <w:sz w:val="28"/>
          <w:szCs w:val="28"/>
        </w:rPr>
        <w:t>年</w:t>
      </w:r>
      <w:r>
        <w:rPr>
          <w:rFonts w:hint="eastAsia" w:ascii="Times New Roman" w:hAnsi="Times New Roman" w:eastAsia="仿宋_GB2312"/>
          <w:sz w:val="28"/>
          <w:szCs w:val="28"/>
        </w:rPr>
        <w:t>4</w:t>
      </w:r>
      <w:r>
        <w:rPr>
          <w:rFonts w:ascii="Times New Roman" w:hAnsi="Times New Roman" w:eastAsia="仿宋_GB2312"/>
          <w:sz w:val="28"/>
          <w:szCs w:val="28"/>
        </w:rPr>
        <w:t>月</w:t>
      </w:r>
      <w:r>
        <w:rPr>
          <w:rFonts w:hint="eastAsia" w:ascii="Times New Roman" w:hAnsi="Times New Roman" w:eastAsia="仿宋_GB2312"/>
          <w:sz w:val="28"/>
          <w:szCs w:val="28"/>
        </w:rPr>
        <w:t>12</w:t>
      </w:r>
      <w:r>
        <w:rPr>
          <w:rFonts w:ascii="Times New Roman" w:hAnsi="Times New Roman" w:eastAsia="仿宋_GB2312"/>
          <w:sz w:val="28"/>
          <w:szCs w:val="28"/>
        </w:rPr>
        <w:t>日印发</w:t>
      </w:r>
    </w:p>
    <w:p w14:paraId="5851342E">
      <w:pPr>
        <w:tabs>
          <w:tab w:val="left" w:pos="1652"/>
        </w:tabs>
        <w:spacing w:line="20" w:lineRule="exact"/>
        <w:ind w:right="382" w:rightChars="182"/>
        <w:rPr>
          <w:rFonts w:ascii="Times New Roman" w:hAnsi="Times New Roman"/>
        </w:rPr>
      </w:pPr>
      <w:r>
        <w:rPr>
          <w:rFonts w:ascii="Times New Roman" w:hAnsi="Times New Roman" w:eastAsia="仿宋_GB2312"/>
          <w:sz w:val="32"/>
          <w:szCs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pt;height:0pt;width:442.2pt;z-index:251659264;mso-width-relative:page;mso-height-relative:page;" filled="f" stroked="t" coordsize="21600,21600" o:gfxdata="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cM1m0gAAAAIBAAAPAAAA&#10;AAAAAAEAIAAAACIAAABkcnMvZG93bnJldi54bWxQSwECFAAUAAAACACHTuJAGXuwReIBAACqAwAA&#10;DgAAAAAAAAABACAAAAAhAQAAZHJzL2Uyb0RvYy54bWxQSwUGAAAAAAYABgBZAQAAdQUAAAAA&#10;">
                <v:fill on="f" focussize="0,0"/>
                <v:stroke color="#000000" joinstyle="round"/>
                <v:imagedata o:title=""/>
                <o:lock v:ext="edit" aspectratio="f"/>
              </v:line>
            </w:pict>
          </mc:Fallback>
        </mc:AlternateContent>
      </w:r>
    </w:p>
    <w:sectPr>
      <w:pgSz w:w="11906" w:h="16838"/>
      <w:pgMar w:top="765" w:right="743" w:bottom="913" w:left="975" w:header="851" w:footer="1417" w:gutter="0"/>
      <w:pgNumType w:fmt="numberInDash" w:start="1"/>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Gungsuh">
    <w:altName w:val="Malgun Gothic"/>
    <w:panose1 w:val="00000000000000000000"/>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Trebuchet MS">
    <w:panose1 w:val="020B0603020202020204"/>
    <w:charset w:val="00"/>
    <w:family w:val="swiss"/>
    <w:pitch w:val="default"/>
    <w:sig w:usb0="00000687" w:usb1="00000000" w:usb2="00000000" w:usb3="00000000" w:csb0="200000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CESI黑体-GB2312">
    <w:altName w:val="黑体"/>
    <w:panose1 w:val="00000000000000000000"/>
    <w:charset w:val="86"/>
    <w:family w:val="auto"/>
    <w:pitch w:val="default"/>
    <w:sig w:usb0="00000000" w:usb1="00000000" w:usb2="00000012" w:usb3="00000000" w:csb0="0004000F" w:csb1="00000000"/>
  </w:font>
  <w:font w:name="方正兰亭黑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B6B05">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YWE3NTQxNTEyNjNjN2Q2Yjc0Y2MyNmQ5ODU4MDkxZjAifQ=="/>
  </w:docVars>
  <w:rsids>
    <w:rsidRoot w:val="007F68EB"/>
    <w:rsid w:val="000C4DBA"/>
    <w:rsid w:val="00162E30"/>
    <w:rsid w:val="001C7FE1"/>
    <w:rsid w:val="007353E3"/>
    <w:rsid w:val="007F68EB"/>
    <w:rsid w:val="00B35027"/>
    <w:rsid w:val="00BE44AC"/>
    <w:rsid w:val="00E66B04"/>
    <w:rsid w:val="2EE12975"/>
    <w:rsid w:val="40F20408"/>
    <w:rsid w:val="7C051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uiPriority="99" w:name="index 8"/>
    <w:lsdException w:qFormat="1" w:unhideWhenUsed="0" w:uiPriority="0" w:semiHidden="0" w:name="index 9"/>
    <w:lsdException w:qFormat="1" w:unhideWhenUsed="0" w:uiPriority="0" w:semiHidden="0"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2"/>
    <w:basedOn w:val="1"/>
    <w:next w:val="1"/>
    <w:semiHidden/>
    <w:unhideWhenUsed/>
    <w:qFormat/>
    <w:uiPriority w:val="9"/>
    <w:pPr>
      <w:keepNext/>
      <w:keepLines/>
      <w:spacing w:before="260" w:after="260" w:line="415" w:lineRule="auto"/>
      <w:outlineLvl w:val="1"/>
    </w:pPr>
    <w:rPr>
      <w:rFonts w:ascii="等线 Light" w:eastAsia="等线 Light"/>
      <w:b/>
      <w:bCs/>
      <w:sz w:val="32"/>
      <w:szCs w:val="32"/>
    </w:rPr>
  </w:style>
  <w:style w:type="paragraph" w:styleId="7">
    <w:name w:val="heading 3"/>
    <w:basedOn w:val="1"/>
    <w:next w:val="1"/>
    <w:semiHidden/>
    <w:unhideWhenUsed/>
    <w:qFormat/>
    <w:uiPriority w:val="9"/>
    <w:pPr>
      <w:keepNext/>
      <w:keepLines/>
      <w:spacing w:before="260" w:after="260" w:line="415" w:lineRule="auto"/>
      <w:outlineLvl w:val="2"/>
    </w:pPr>
    <w:rPr>
      <w:b/>
      <w:bCs/>
      <w:sz w:val="32"/>
      <w:szCs w:val="32"/>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after="120"/>
      <w:ind w:left="200" w:leftChars="200"/>
    </w:pPr>
    <w:rPr>
      <w:rFonts w:ascii="Times New Roman" w:hAnsi="Times New Roman"/>
    </w:rPr>
  </w:style>
  <w:style w:type="paragraph" w:styleId="3">
    <w:name w:val="Body Text Indent"/>
    <w:basedOn w:val="1"/>
    <w:next w:val="2"/>
    <w:qFormat/>
    <w:uiPriority w:val="0"/>
    <w:pPr>
      <w:ind w:firstLine="200" w:firstLineChars="200"/>
    </w:pPr>
    <w:rPr>
      <w:rFonts w:ascii="黑体" w:eastAsia="黑体"/>
      <w:b/>
      <w:szCs w:val="32"/>
    </w:rPr>
  </w:style>
  <w:style w:type="paragraph" w:styleId="4">
    <w:name w:val="Balloon Text"/>
    <w:basedOn w:val="1"/>
    <w:qFormat/>
    <w:uiPriority w:val="0"/>
    <w:rPr>
      <w:sz w:val="18"/>
      <w:szCs w:val="18"/>
    </w:rPr>
  </w:style>
  <w:style w:type="paragraph" w:styleId="8">
    <w:name w:val="Normal Indent"/>
    <w:basedOn w:val="1"/>
    <w:qFormat/>
    <w:uiPriority w:val="0"/>
    <w:pPr>
      <w:ind w:firstLine="200" w:firstLineChars="200"/>
    </w:pPr>
    <w:rPr>
      <w:rFonts w:ascii="Times New Roman" w:hAnsi="Times New Roman"/>
      <w:szCs w:val="21"/>
    </w:rPr>
  </w:style>
  <w:style w:type="paragraph" w:styleId="9">
    <w:name w:val="Body Text"/>
    <w:basedOn w:val="1"/>
    <w:link w:val="29"/>
    <w:semiHidden/>
    <w:unhideWhenUsed/>
    <w:qFormat/>
    <w:uiPriority w:val="99"/>
    <w:pPr>
      <w:spacing w:after="120"/>
    </w:pPr>
  </w:style>
  <w:style w:type="paragraph" w:styleId="10">
    <w:name w:val="toc 3"/>
    <w:basedOn w:val="1"/>
    <w:next w:val="1"/>
    <w:autoRedefine/>
    <w:qFormat/>
    <w:uiPriority w:val="0"/>
    <w:pPr>
      <w:ind w:left="840"/>
    </w:pPr>
  </w:style>
  <w:style w:type="paragraph" w:styleId="11">
    <w:name w:val="Body Text Indent 2"/>
    <w:basedOn w:val="1"/>
    <w:uiPriority w:val="0"/>
    <w:pPr>
      <w:spacing w:after="120" w:line="480" w:lineRule="auto"/>
      <w:ind w:left="200" w:leftChars="200"/>
    </w:pPr>
  </w:style>
  <w:style w:type="paragraph" w:styleId="12">
    <w:name w:val="footer"/>
    <w:basedOn w:val="1"/>
    <w:next w:val="13"/>
    <w:qFormat/>
    <w:uiPriority w:val="0"/>
    <w:pPr>
      <w:tabs>
        <w:tab w:val="center" w:pos="4153"/>
        <w:tab w:val="right" w:pos="8306"/>
      </w:tabs>
      <w:snapToGrid w:val="0"/>
      <w:jc w:val="left"/>
    </w:pPr>
    <w:rPr>
      <w:sz w:val="18"/>
    </w:rPr>
  </w:style>
  <w:style w:type="paragraph" w:styleId="13">
    <w:name w:val="header"/>
    <w:basedOn w:val="1"/>
    <w:qFormat/>
    <w:uiPriority w:val="0"/>
    <w:pPr>
      <w:tabs>
        <w:tab w:val="center" w:pos="4153"/>
        <w:tab w:val="right" w:pos="8306"/>
      </w:tabs>
      <w:snapToGrid w:val="0"/>
    </w:pPr>
    <w:rPr>
      <w:sz w:val="18"/>
    </w:rPr>
  </w:style>
  <w:style w:type="paragraph" w:styleId="14">
    <w:name w:val="toc 1"/>
    <w:basedOn w:val="1"/>
    <w:next w:val="1"/>
    <w:autoRedefine/>
    <w:qFormat/>
    <w:uiPriority w:val="0"/>
  </w:style>
  <w:style w:type="paragraph" w:styleId="15">
    <w:name w:val="index 7"/>
    <w:basedOn w:val="1"/>
    <w:next w:val="1"/>
    <w:autoRedefine/>
    <w:qFormat/>
    <w:uiPriority w:val="0"/>
    <w:pPr>
      <w:ind w:left="2520"/>
    </w:pPr>
  </w:style>
  <w:style w:type="paragraph" w:styleId="16">
    <w:name w:val="index 9"/>
    <w:basedOn w:val="1"/>
    <w:next w:val="1"/>
    <w:autoRedefine/>
    <w:qFormat/>
    <w:uiPriority w:val="0"/>
    <w:pPr>
      <w:ind w:left="3360"/>
    </w:pPr>
  </w:style>
  <w:style w:type="paragraph" w:styleId="17">
    <w:name w:val="HTML Preformatted"/>
    <w:basedOn w:val="1"/>
    <w:qFormat/>
    <w:uiPriority w:val="0"/>
    <w:rPr>
      <w:rFonts w:ascii="Courier New" w:hAnsi="Courier New"/>
      <w:sz w:val="20"/>
      <w:szCs w:val="20"/>
    </w:rPr>
  </w:style>
  <w:style w:type="paragraph" w:styleId="18">
    <w:name w:val="Normal (Web)"/>
    <w:basedOn w:val="1"/>
    <w:next w:val="12"/>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10"/>
    <w:pPr>
      <w:spacing w:before="240" w:after="60"/>
      <w:jc w:val="center"/>
      <w:outlineLvl w:val="0"/>
    </w:pPr>
    <w:rPr>
      <w:rFonts w:ascii="Arial" w:hAnsi="Arial" w:cs="Arial"/>
      <w:b/>
      <w:bCs/>
    </w:rPr>
  </w:style>
  <w:style w:type="character" w:customStyle="1" w:styleId="22">
    <w:name w:val="font61"/>
    <w:basedOn w:val="21"/>
    <w:qFormat/>
    <w:uiPriority w:val="0"/>
    <w:rPr>
      <w:rFonts w:ascii="Times New Roman" w:hAnsi="Times New Roman" w:cs="Times New Roman"/>
      <w:color w:val="000000"/>
      <w:sz w:val="22"/>
      <w:szCs w:val="22"/>
      <w:u w:val="none"/>
    </w:rPr>
  </w:style>
  <w:style w:type="character" w:customStyle="1" w:styleId="23">
    <w:name w:val="font41"/>
    <w:basedOn w:val="21"/>
    <w:qFormat/>
    <w:uiPriority w:val="0"/>
    <w:rPr>
      <w:rFonts w:ascii="仿宋_GB2312" w:eastAsia="仿宋_GB2312" w:cs="仿宋_GB2312"/>
      <w:color w:val="000000"/>
      <w:sz w:val="22"/>
      <w:szCs w:val="22"/>
      <w:u w:val="none"/>
    </w:rPr>
  </w:style>
  <w:style w:type="paragraph" w:customStyle="1" w:styleId="24">
    <w:name w:val="_Style 1"/>
    <w:basedOn w:val="1"/>
    <w:qFormat/>
    <w:uiPriority w:val="0"/>
    <w:pPr>
      <w:spacing w:line="580" w:lineRule="exact"/>
      <w:ind w:firstLine="200" w:firstLineChars="200"/>
    </w:pPr>
    <w:rPr>
      <w:rFonts w:ascii="Times New Roman" w:hAnsi="Times New Roman"/>
      <w:sz w:val="32"/>
    </w:rPr>
  </w:style>
  <w:style w:type="paragraph" w:customStyle="1" w:styleId="25">
    <w:name w:val="标题 #1"/>
    <w:basedOn w:val="1"/>
    <w:qFormat/>
    <w:uiPriority w:val="0"/>
    <w:pPr>
      <w:shd w:val="clear" w:color="auto" w:fill="FFFFFF"/>
      <w:spacing w:before="600" w:after="180" w:line="0" w:lineRule="atLeast"/>
      <w:outlineLvl w:val="0"/>
    </w:pPr>
    <w:rPr>
      <w:rFonts w:ascii="MingLiU" w:hAnsi="MingLiU" w:eastAsia="MingLiU" w:cs="MingLiU"/>
      <w:sz w:val="41"/>
      <w:szCs w:val="41"/>
    </w:rPr>
  </w:style>
  <w:style w:type="character" w:customStyle="1" w:styleId="26">
    <w:name w:val="标题 #1 + Gungsuh"/>
    <w:qFormat/>
    <w:uiPriority w:val="0"/>
    <w:rPr>
      <w:rFonts w:ascii="Gungsuh" w:hAnsi="Gungsuh" w:eastAsia="Gungsuh" w:cs="Gungsuh"/>
      <w:color w:val="000000"/>
      <w:spacing w:val="0"/>
      <w:w w:val="100"/>
      <w:position w:val="0"/>
      <w:sz w:val="14"/>
      <w:szCs w:val="14"/>
      <w:lang w:val="zh-CN"/>
    </w:rPr>
  </w:style>
  <w:style w:type="paragraph" w:customStyle="1" w:styleId="27">
    <w:name w:val="正文文本1"/>
    <w:qFormat/>
    <w:uiPriority w:val="0"/>
    <w:pPr>
      <w:widowControl w:val="0"/>
      <w:shd w:val="clear" w:color="auto" w:fill="FFFFFF"/>
      <w:spacing w:after="600" w:line="0" w:lineRule="atLeast"/>
    </w:pPr>
    <w:rPr>
      <w:rFonts w:ascii="MingLiU" w:hAnsi="MingLiU" w:eastAsia="MingLiU" w:cs="MingLiU"/>
      <w:sz w:val="26"/>
      <w:szCs w:val="26"/>
      <w:lang w:val="en-US" w:eastAsia="zh-CN" w:bidi="ar-SA"/>
    </w:rPr>
  </w:style>
  <w:style w:type="character" w:customStyle="1" w:styleId="28">
    <w:name w:val="正文文本 + Trebuchet MS1"/>
    <w:qFormat/>
    <w:uiPriority w:val="0"/>
    <w:rPr>
      <w:rFonts w:ascii="Trebuchet MS" w:hAnsi="Trebuchet MS" w:eastAsia="Trebuchet MS" w:cs="Trebuchet MS"/>
      <w:color w:val="000000"/>
      <w:spacing w:val="0"/>
      <w:w w:val="100"/>
      <w:position w:val="0"/>
      <w:sz w:val="17"/>
      <w:szCs w:val="17"/>
      <w:lang w:val="zh-CN"/>
    </w:rPr>
  </w:style>
  <w:style w:type="character" w:customStyle="1" w:styleId="29">
    <w:name w:val="正文文本 字符"/>
    <w:basedOn w:val="21"/>
    <w:link w:val="9"/>
    <w:semiHidden/>
    <w:qFormat/>
    <w:uiPriority w:val="99"/>
    <w:rPr>
      <w:rFonts w:ascii="Calibri" w:hAnsi="Calibri"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CB33D8-E315-4B11-BB6B-2A856C889AE7}">
  <ds:schemaRefs/>
</ds:datastoreItem>
</file>

<file path=docProps/app.xml><?xml version="1.0" encoding="utf-8"?>
<Properties xmlns="http://schemas.openxmlformats.org/officeDocument/2006/extended-properties" xmlns:vt="http://schemas.openxmlformats.org/officeDocument/2006/docPropsVTypes">
  <Template>Normal</Template>
  <Pages>20</Pages>
  <Words>12518</Words>
  <Characters>12539</Characters>
  <Lines>98</Lines>
  <Paragraphs>27</Paragraphs>
  <TotalTime>444</TotalTime>
  <ScaleCrop>false</ScaleCrop>
  <LinksUpToDate>false</LinksUpToDate>
  <CharactersWithSpaces>12634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2025-03-07T20:43:00Z</dcterms:created>
  <dc:creator>。</dc:creator>
  <cp:lastModifiedBy>国文</cp:lastModifiedBy>
  <cp:lastPrinted>2025-03-19T01:13:00Z</cp:lastPrinted>
  <dcterms:modified xsi:type="dcterms:W3CDTF">2025-05-19T03:55:29Z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80F0479A3E4C435FB902747DBCFE8EAE_13</vt:lpwstr>
  </property>
  <property fmtid="{D5CDD505-2E9C-101B-9397-08002B2CF9AE}" pid="4" name="KSOTemplateDocerSaveRecord">
    <vt:lpwstr>eyJoZGlkIjoiYzdkOGFjY2Q3NzAwNTc1M2FhYzY5YmFjZjA4OGIyNTQiLCJ1c2VySWQiOiIzODI4MjM1NzgifQ==</vt:lpwstr>
  </property>
</Properties>
</file>